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A72" w:rsidRPr="00252D46" w:rsidRDefault="00A31248" w:rsidP="00B11CCE">
      <w:pPr>
        <w:spacing w:line="23" w:lineRule="atLeast"/>
        <w:rPr>
          <w:b/>
          <w:sz w:val="28"/>
        </w:rPr>
      </w:pPr>
      <w:r>
        <w:rPr>
          <w:b/>
          <w:sz w:val="28"/>
        </w:rPr>
        <w:t>METRICS AND INDICATORS</w:t>
      </w:r>
      <w:r w:rsidR="00CD27F0">
        <w:rPr>
          <w:b/>
          <w:sz w:val="28"/>
        </w:rPr>
        <w:t xml:space="preserve"> FOR SUSTAINABLE MANUFACTURING</w:t>
      </w:r>
    </w:p>
    <w:p w:rsidR="00252D46" w:rsidRPr="00252D46" w:rsidRDefault="00252D46" w:rsidP="00B11CCE">
      <w:pPr>
        <w:spacing w:line="23" w:lineRule="atLeast"/>
        <w:rPr>
          <w:b/>
          <w:sz w:val="24"/>
        </w:rPr>
      </w:pPr>
      <w:r w:rsidRPr="00252D46">
        <w:rPr>
          <w:b/>
          <w:sz w:val="24"/>
        </w:rPr>
        <w:t>Introduction</w:t>
      </w:r>
    </w:p>
    <w:p w:rsidR="003611AC" w:rsidRDefault="00A31248" w:rsidP="00B11CCE">
      <w:pPr>
        <w:spacing w:line="23" w:lineRule="atLeast"/>
        <w:jc w:val="both"/>
      </w:pPr>
      <w:r w:rsidRPr="003611AC">
        <w:t>Indicators (or metrics) measure aspects of a system that allow us to characterize the conditions of the system. The values of indicators assist in effective decision-making, such as business decisions to build or extend a new chemical plant, performance improvement decisions for a reactor, or government policy-making related to environmental pollution from a particular sector. Indicators are also essential for evaluating current conditions</w:t>
      </w:r>
      <w:r w:rsidR="003611AC">
        <w:t xml:space="preserve"> by</w:t>
      </w:r>
      <w:r w:rsidRPr="003611AC">
        <w:t xml:space="preserve"> tracking</w:t>
      </w:r>
      <w:r w:rsidR="003611AC">
        <w:t xml:space="preserve"> outcomes of actions taken or assessing progress toward overall goals by calibrating progress toward such goals. They can provide an early warning to prevent economic, social, and environmental setbacks. </w:t>
      </w:r>
      <w:r w:rsidR="009653D0">
        <w:rPr>
          <w:rFonts w:cs="Times New Roman"/>
        </w:rPr>
        <w:t>The goal of this module is to provide an overview of the metrics compiled by two of the most significant professional societies</w:t>
      </w:r>
      <w:r w:rsidR="00EA2E3A">
        <w:rPr>
          <w:rFonts w:cs="Times New Roman"/>
        </w:rPr>
        <w:t xml:space="preserve"> in chemical engineering</w:t>
      </w:r>
      <w:r w:rsidR="009653D0">
        <w:rPr>
          <w:rFonts w:cs="Times New Roman"/>
        </w:rPr>
        <w:t xml:space="preserve">, </w:t>
      </w:r>
      <w:proofErr w:type="spellStart"/>
      <w:r w:rsidR="009653D0">
        <w:rPr>
          <w:rFonts w:cs="Times New Roman"/>
        </w:rPr>
        <w:t>AIChE</w:t>
      </w:r>
      <w:proofErr w:type="spellEnd"/>
      <w:r w:rsidR="009653D0">
        <w:rPr>
          <w:rFonts w:cs="Times New Roman"/>
        </w:rPr>
        <w:t xml:space="preserve"> and </w:t>
      </w:r>
      <w:proofErr w:type="spellStart"/>
      <w:r w:rsidR="009653D0">
        <w:rPr>
          <w:rFonts w:cs="Times New Roman"/>
        </w:rPr>
        <w:t>IChemE</w:t>
      </w:r>
      <w:proofErr w:type="spellEnd"/>
      <w:r w:rsidR="009653D0">
        <w:rPr>
          <w:rFonts w:cs="Times New Roman"/>
        </w:rPr>
        <w:t xml:space="preserve">. This background will provide the necessary indicators that one must compute in order to achieve sustainability of manufacturing systems. </w:t>
      </w:r>
    </w:p>
    <w:p w:rsidR="0077200B" w:rsidRDefault="003611AC" w:rsidP="00B11CCE">
      <w:pPr>
        <w:spacing w:line="23" w:lineRule="atLeast"/>
        <w:jc w:val="both"/>
      </w:pPr>
      <w:r>
        <w:t>The selection of indicators effectively determines the “looking glass” through which one views the technical or policy options within a system; therefore, it is extremely important in influencing decisions and judgments. Needless to say, the first hurdle in effective decision-making is the choice of the indicators that best represent a system. Once a set of specific indicators for a system assessment is chosen, data collection for those indicators may pose difficulties. The final step is decision making with the indicator values. Combining the three pillars of sustainability and finding a single value that encompasses the comprehensive set of indicator</w:t>
      </w:r>
      <w:r w:rsidR="0077200B">
        <w:t xml:space="preserve">s is a daunting, but necessary </w:t>
      </w:r>
      <w:r>
        <w:t xml:space="preserve">task to incorporate physical and social science knowledge into decision making. </w:t>
      </w:r>
      <w:r w:rsidR="000B6FDB">
        <w:t xml:space="preserve">The decision making with indicators </w:t>
      </w:r>
      <w:r w:rsidR="007E6358">
        <w:t>is covered in a separate module.</w:t>
      </w:r>
    </w:p>
    <w:p w:rsidR="00252D46" w:rsidRPr="00252D46" w:rsidRDefault="00252D46" w:rsidP="00B11CCE">
      <w:pPr>
        <w:spacing w:line="23" w:lineRule="atLeast"/>
        <w:rPr>
          <w:b/>
          <w:sz w:val="24"/>
        </w:rPr>
      </w:pPr>
      <w:r w:rsidRPr="00252D46">
        <w:rPr>
          <w:b/>
          <w:sz w:val="24"/>
        </w:rPr>
        <w:t>Rationale</w:t>
      </w:r>
      <w:r w:rsidR="003C1D32">
        <w:rPr>
          <w:b/>
          <w:sz w:val="24"/>
        </w:rPr>
        <w:t xml:space="preserve">: </w:t>
      </w:r>
      <w:r w:rsidR="000B6FDB">
        <w:rPr>
          <w:b/>
          <w:sz w:val="24"/>
        </w:rPr>
        <w:t xml:space="preserve">Use of </w:t>
      </w:r>
      <w:r w:rsidR="00B73C58">
        <w:rPr>
          <w:b/>
          <w:sz w:val="24"/>
        </w:rPr>
        <w:t>Metrics and Indicators</w:t>
      </w:r>
      <w:r w:rsidR="000B6FDB">
        <w:rPr>
          <w:b/>
          <w:sz w:val="24"/>
        </w:rPr>
        <w:t xml:space="preserve"> for</w:t>
      </w:r>
      <w:r w:rsidR="009F1C6C">
        <w:rPr>
          <w:b/>
          <w:sz w:val="24"/>
        </w:rPr>
        <w:t xml:space="preserve"> </w:t>
      </w:r>
      <w:r w:rsidRPr="00252D46">
        <w:rPr>
          <w:b/>
          <w:sz w:val="24"/>
        </w:rPr>
        <w:t xml:space="preserve">Sustainable </w:t>
      </w:r>
      <w:r w:rsidR="00A31248">
        <w:rPr>
          <w:b/>
          <w:sz w:val="24"/>
        </w:rPr>
        <w:t>Manufacturing</w:t>
      </w:r>
    </w:p>
    <w:p w:rsidR="00252D46" w:rsidRDefault="004C0055" w:rsidP="00B11CCE">
      <w:pPr>
        <w:spacing w:line="23" w:lineRule="atLeast"/>
        <w:jc w:val="both"/>
      </w:pPr>
      <w:r>
        <w:t xml:space="preserve">As stated above, the use of metrics and indicators are prevalent for tracking the progress of a system. However, a consensus does not exist on which is the best set of indicators for a particular system, nor is such universal guidance provided for manufacturing systems. From limited literature, even if such metrics are available, they track particular aspects of sustainability individually, without any criteria given for arriving at decisions using such indicators. </w:t>
      </w:r>
      <w:r w:rsidR="0077200B">
        <w:t xml:space="preserve">This module aims to identify the different systems that a manufacturing process encounters, narrow the set of indicators specific to a manufacturing system and distinction from its surroundings, followed by a methodology to calculate the Sustainability Footprint of the manufacturing system by computing an aggregate index. </w:t>
      </w:r>
      <w:r>
        <w:t>Thus, to effectively measure progress towards sustainability, a sustainability footprint assessment method is explained in this module, which aids in decision making with indicators and metrics for a sustainable manufacturing system.</w:t>
      </w:r>
      <w:r w:rsidR="0077200B" w:rsidRPr="0077200B">
        <w:t xml:space="preserve"> </w:t>
      </w:r>
      <w:r w:rsidR="0077200B">
        <w:t>Learning outcomes from this module will help in effective and comprehensive decision making with indicators for sharing information with stakeholders.</w:t>
      </w:r>
    </w:p>
    <w:p w:rsidR="003C1D32" w:rsidRPr="00252D46" w:rsidRDefault="003C1D32" w:rsidP="00B11CCE">
      <w:pPr>
        <w:spacing w:line="23" w:lineRule="atLeast"/>
        <w:rPr>
          <w:b/>
          <w:sz w:val="24"/>
        </w:rPr>
      </w:pPr>
      <w:r>
        <w:rPr>
          <w:b/>
          <w:sz w:val="24"/>
        </w:rPr>
        <w:t xml:space="preserve">Course Content: </w:t>
      </w:r>
      <w:r w:rsidR="00B73C58">
        <w:rPr>
          <w:b/>
          <w:sz w:val="24"/>
        </w:rPr>
        <w:t>Metrics and Indicators Theory, Relevant Sustainability Metrics</w:t>
      </w:r>
    </w:p>
    <w:p w:rsidR="00CD27F0" w:rsidRPr="00CD27F0" w:rsidRDefault="00CD27F0" w:rsidP="00B11CCE">
      <w:pPr>
        <w:pStyle w:val="ListParagraph"/>
        <w:spacing w:line="23" w:lineRule="atLeast"/>
        <w:ind w:left="0"/>
        <w:jc w:val="both"/>
        <w:rPr>
          <w:rFonts w:cs="Times New Roman"/>
          <w:b/>
          <w:i/>
          <w:color w:val="221E1F"/>
        </w:rPr>
      </w:pPr>
      <w:r w:rsidRPr="00CD27F0">
        <w:rPr>
          <w:rFonts w:cs="Times New Roman"/>
          <w:b/>
          <w:i/>
          <w:color w:val="221E1F"/>
        </w:rPr>
        <w:t>Indicator Types</w:t>
      </w:r>
    </w:p>
    <w:p w:rsidR="00DB56B1" w:rsidRDefault="007F1733" w:rsidP="00B11CCE">
      <w:pPr>
        <w:pStyle w:val="ListParagraph"/>
        <w:spacing w:line="23" w:lineRule="atLeast"/>
        <w:ind w:left="0"/>
        <w:jc w:val="both"/>
        <w:rPr>
          <w:rFonts w:cs="Times New Roman"/>
        </w:rPr>
      </w:pPr>
      <w:r w:rsidRPr="007F1733">
        <w:rPr>
          <w:rFonts w:cs="Times New Roman"/>
          <w:color w:val="221E1F"/>
        </w:rPr>
        <w:t xml:space="preserve">The </w:t>
      </w:r>
      <w:r w:rsidRPr="007F1733">
        <w:rPr>
          <w:rFonts w:cs="Times New Roman"/>
        </w:rPr>
        <w:t xml:space="preserve">indicators measuring sustainability of a system vary according to the scale of that system. For example, the comparative progress of a country over another towards sustainable development can be partly measured by the percentage of population having access to clean drinking water. The sustainability of a chemical process compared to another can be partly determined by the amount of material it uses or the amount of greenhouse gases it generates. Thus, sustainability analysis always involves a relative measure comparing one system to a reference system.  The reference system can be another competing system or a synthetic one, or even the same system in a different time in the past. </w:t>
      </w:r>
    </w:p>
    <w:p w:rsidR="007E74C0" w:rsidRDefault="007E74C0" w:rsidP="00B11CCE">
      <w:pPr>
        <w:pStyle w:val="ListParagraph"/>
        <w:spacing w:line="23" w:lineRule="atLeast"/>
        <w:ind w:left="0"/>
        <w:rPr>
          <w:rFonts w:cs="Times New Roman"/>
        </w:rPr>
      </w:pPr>
      <w:r>
        <w:rPr>
          <w:rFonts w:cs="Times New Roman"/>
        </w:rPr>
        <w:t xml:space="preserve">In the context of sustainable manufacturing, the systems </w:t>
      </w:r>
      <w:r w:rsidR="00304293">
        <w:rPr>
          <w:rFonts w:cs="Times New Roman"/>
        </w:rPr>
        <w:t xml:space="preserve">that need to be considered are </w:t>
      </w:r>
      <w:r>
        <w:rPr>
          <w:rFonts w:cs="Times New Roman"/>
        </w:rPr>
        <w:t xml:space="preserve">at either technological or business scales, i.e. Type III or Type IV systems explained </w:t>
      </w:r>
      <w:r w:rsidRPr="00971C76">
        <w:rPr>
          <w:rFonts w:cs="Times New Roman"/>
        </w:rPr>
        <w:t xml:space="preserve">by </w:t>
      </w:r>
      <w:proofErr w:type="spellStart"/>
      <w:r w:rsidRPr="00971C76">
        <w:rPr>
          <w:rFonts w:cs="Times New Roman"/>
        </w:rPr>
        <w:t>Sikdar</w:t>
      </w:r>
      <w:proofErr w:type="spellEnd"/>
      <w:r w:rsidRPr="00971C76">
        <w:rPr>
          <w:rFonts w:cs="Times New Roman"/>
        </w:rPr>
        <w:t>, 2003.</w:t>
      </w:r>
    </w:p>
    <w:p w:rsidR="00304293" w:rsidRDefault="00304293" w:rsidP="00B11CCE">
      <w:pPr>
        <w:pStyle w:val="ListParagraph"/>
        <w:spacing w:line="23" w:lineRule="atLeast"/>
        <w:ind w:left="0"/>
        <w:jc w:val="both"/>
        <w:rPr>
          <w:rFonts w:cs="Times New Roman"/>
        </w:rPr>
      </w:pPr>
    </w:p>
    <w:p w:rsidR="007E74C0" w:rsidRPr="00304293" w:rsidRDefault="007E74C0" w:rsidP="00B11CCE">
      <w:pPr>
        <w:pStyle w:val="ListParagraph"/>
        <w:spacing w:line="23" w:lineRule="atLeast"/>
        <w:ind w:right="720"/>
        <w:jc w:val="both"/>
        <w:rPr>
          <w:rFonts w:cs="Times New Roman"/>
        </w:rPr>
      </w:pPr>
      <w:r>
        <w:rPr>
          <w:rFonts w:cs="Times New Roman"/>
        </w:rPr>
        <w:t>“</w:t>
      </w:r>
      <w:r w:rsidRPr="007E74C0">
        <w:rPr>
          <w:rFonts w:cs="Times New Roman"/>
        </w:rPr>
        <w:t>Type III: Businesses, either local</w:t>
      </w:r>
      <w:r w:rsidR="00304293">
        <w:rPr>
          <w:rFonts w:cs="Times New Roman"/>
        </w:rPr>
        <w:t xml:space="preserve">ized or distributed, constitute </w:t>
      </w:r>
      <w:r w:rsidRPr="00304293">
        <w:rPr>
          <w:rFonts w:cs="Times New Roman"/>
        </w:rPr>
        <w:t>Type III systems. Businesses strive to be sustainable by practicing</w:t>
      </w:r>
      <w:r w:rsidR="00304293">
        <w:rPr>
          <w:rFonts w:cs="Times New Roman"/>
        </w:rPr>
        <w:t xml:space="preserve"> </w:t>
      </w:r>
      <w:r w:rsidRPr="00304293">
        <w:rPr>
          <w:rFonts w:cs="Times New Roman"/>
        </w:rPr>
        <w:t xml:space="preserve">cleaner technologies, recycling byproducts, eliminating </w:t>
      </w:r>
      <w:r w:rsidRPr="00304293">
        <w:rPr>
          <w:rFonts w:cs="Times New Roman"/>
        </w:rPr>
        <w:lastRenderedPageBreak/>
        <w:t>waste</w:t>
      </w:r>
      <w:r w:rsidR="00304293">
        <w:rPr>
          <w:rFonts w:cs="Times New Roman"/>
        </w:rPr>
        <w:t xml:space="preserve"> </w:t>
      </w:r>
      <w:r w:rsidRPr="00304293">
        <w:rPr>
          <w:rFonts w:cs="Times New Roman"/>
        </w:rPr>
        <w:t>products, reducing emissions of greenhouse gases, eliminating the</w:t>
      </w:r>
      <w:r w:rsidR="00304293">
        <w:rPr>
          <w:rFonts w:cs="Times New Roman"/>
        </w:rPr>
        <w:t xml:space="preserve"> </w:t>
      </w:r>
      <w:r w:rsidRPr="00304293">
        <w:rPr>
          <w:rFonts w:cs="Times New Roman"/>
        </w:rPr>
        <w:t>use of toxic substances, and reducin</w:t>
      </w:r>
      <w:r w:rsidR="00304293">
        <w:rPr>
          <w:rFonts w:cs="Times New Roman"/>
        </w:rPr>
        <w:t xml:space="preserve">g energy intensity of processes. </w:t>
      </w:r>
      <w:r w:rsidRPr="00304293">
        <w:rPr>
          <w:rFonts w:cs="Times New Roman"/>
        </w:rPr>
        <w:t>For instance, by co-locating manufacturing plants so as to minimize</w:t>
      </w:r>
      <w:r w:rsidR="00304293">
        <w:rPr>
          <w:rFonts w:cs="Times New Roman"/>
        </w:rPr>
        <w:t xml:space="preserve"> </w:t>
      </w:r>
      <w:r w:rsidRPr="00304293">
        <w:rPr>
          <w:rFonts w:cs="Times New Roman"/>
        </w:rPr>
        <w:t>wastes (so-called industrial ecology), or by establishing</w:t>
      </w:r>
      <w:r w:rsidR="00304293">
        <w:rPr>
          <w:rFonts w:cs="Times New Roman"/>
        </w:rPr>
        <w:t xml:space="preserve"> </w:t>
      </w:r>
      <w:r w:rsidRPr="00304293">
        <w:rPr>
          <w:rFonts w:cs="Times New Roman"/>
        </w:rPr>
        <w:t>waste exchange, industries can achieve the three-fold goal of economic</w:t>
      </w:r>
      <w:r w:rsidR="00304293">
        <w:rPr>
          <w:rFonts w:cs="Times New Roman"/>
        </w:rPr>
        <w:t xml:space="preserve"> </w:t>
      </w:r>
      <w:r w:rsidRPr="00304293">
        <w:rPr>
          <w:rFonts w:cs="Times New Roman"/>
        </w:rPr>
        <w:t>development, environmental stewardship, and social good.</w:t>
      </w:r>
    </w:p>
    <w:p w:rsidR="00304293" w:rsidRDefault="00304293" w:rsidP="00B11CCE">
      <w:pPr>
        <w:pStyle w:val="ListParagraph"/>
        <w:spacing w:line="23" w:lineRule="atLeast"/>
        <w:ind w:right="720"/>
        <w:jc w:val="both"/>
        <w:rPr>
          <w:rFonts w:cs="Times New Roman"/>
        </w:rPr>
      </w:pPr>
    </w:p>
    <w:p w:rsidR="00304293" w:rsidRPr="00304293" w:rsidRDefault="007E74C0" w:rsidP="00B11CCE">
      <w:pPr>
        <w:pStyle w:val="ListParagraph"/>
        <w:spacing w:line="23" w:lineRule="atLeast"/>
        <w:ind w:right="720"/>
        <w:jc w:val="both"/>
        <w:rPr>
          <w:rFonts w:cs="Times New Roman"/>
        </w:rPr>
      </w:pPr>
      <w:r w:rsidRPr="007E74C0">
        <w:rPr>
          <w:rFonts w:cs="Times New Roman"/>
        </w:rPr>
        <w:t>Type IV: Type IV systems are the smallest of the systems and they</w:t>
      </w:r>
      <w:r w:rsidR="00304293">
        <w:rPr>
          <w:rFonts w:cs="Times New Roman"/>
        </w:rPr>
        <w:t xml:space="preserve"> </w:t>
      </w:r>
      <w:r w:rsidRPr="00304293">
        <w:rPr>
          <w:rFonts w:cs="Times New Roman"/>
        </w:rPr>
        <w:t>can be called “sustainable technologies”. Any particular technology</w:t>
      </w:r>
      <w:r w:rsidR="00304293">
        <w:rPr>
          <w:rFonts w:cs="Times New Roman"/>
        </w:rPr>
        <w:t xml:space="preserve"> </w:t>
      </w:r>
      <w:r w:rsidRPr="00304293">
        <w:rPr>
          <w:rFonts w:cs="Times New Roman"/>
        </w:rPr>
        <w:t>that is designed to provide economic value through clean chemistries</w:t>
      </w:r>
      <w:r w:rsidR="00304293">
        <w:rPr>
          <w:rFonts w:cs="Times New Roman"/>
        </w:rPr>
        <w:t xml:space="preserve"> </w:t>
      </w:r>
      <w:r w:rsidRPr="00304293">
        <w:rPr>
          <w:rFonts w:cs="Times New Roman"/>
        </w:rPr>
        <w:t>would be an example of a Type IV system. Clearly, Type III and</w:t>
      </w:r>
      <w:r w:rsidR="00304293">
        <w:rPr>
          <w:rFonts w:cs="Times New Roman"/>
        </w:rPr>
        <w:t xml:space="preserve"> </w:t>
      </w:r>
      <w:r w:rsidRPr="00304293">
        <w:rPr>
          <w:rFonts w:cs="Times New Roman"/>
        </w:rPr>
        <w:t>Type IV systems are most suitable for an important role for chemical</w:t>
      </w:r>
      <w:r w:rsidR="00304293">
        <w:rPr>
          <w:rFonts w:cs="Times New Roman"/>
        </w:rPr>
        <w:t xml:space="preserve"> </w:t>
      </w:r>
      <w:r w:rsidRPr="00304293">
        <w:rPr>
          <w:rFonts w:cs="Times New Roman"/>
        </w:rPr>
        <w:t>engineers because the performance of these systems is dependent</w:t>
      </w:r>
      <w:r w:rsidR="00304293">
        <w:rPr>
          <w:rFonts w:cs="Times New Roman"/>
        </w:rPr>
        <w:t xml:space="preserve"> </w:t>
      </w:r>
      <w:r w:rsidRPr="007E74C0">
        <w:rPr>
          <w:rFonts w:cs="Times New Roman"/>
        </w:rPr>
        <w:t>on process and product designs and manufacturing methods.</w:t>
      </w:r>
      <w:r w:rsidR="00304293">
        <w:rPr>
          <w:rFonts w:cs="Times New Roman"/>
        </w:rPr>
        <w:t>”</w:t>
      </w:r>
    </w:p>
    <w:p w:rsidR="00304293" w:rsidRDefault="00304293" w:rsidP="00B11CCE">
      <w:pPr>
        <w:pStyle w:val="ListParagraph"/>
        <w:spacing w:line="23" w:lineRule="atLeast"/>
        <w:ind w:left="0"/>
        <w:jc w:val="both"/>
        <w:rPr>
          <w:rFonts w:cs="Times New Roman"/>
        </w:rPr>
      </w:pPr>
    </w:p>
    <w:p w:rsidR="00304293" w:rsidRDefault="00304293" w:rsidP="00B11CCE">
      <w:pPr>
        <w:pStyle w:val="ListParagraph"/>
        <w:spacing w:line="23" w:lineRule="atLeast"/>
        <w:ind w:left="0"/>
        <w:jc w:val="both"/>
        <w:rPr>
          <w:rFonts w:cs="Times New Roman"/>
        </w:rPr>
      </w:pPr>
      <w:r>
        <w:rPr>
          <w:rFonts w:cs="Times New Roman"/>
        </w:rPr>
        <w:tab/>
      </w:r>
      <w:r w:rsidR="0079083B">
        <w:rPr>
          <w:rFonts w:cs="Times New Roman"/>
          <w:noProof/>
        </w:rPr>
        <w:drawing>
          <wp:inline distT="0" distB="0" distL="0" distR="0" wp14:anchorId="29C14058" wp14:editId="75CE2863">
            <wp:extent cx="4572000" cy="26732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0" cy="2673272"/>
                    </a:xfrm>
                    <a:prstGeom prst="rect">
                      <a:avLst/>
                    </a:prstGeom>
                    <a:noFill/>
                  </pic:spPr>
                </pic:pic>
              </a:graphicData>
            </a:graphic>
          </wp:inline>
        </w:drawing>
      </w:r>
    </w:p>
    <w:p w:rsidR="0079083B" w:rsidRDefault="0079083B" w:rsidP="00B11CCE">
      <w:pPr>
        <w:pStyle w:val="ListParagraph"/>
        <w:spacing w:line="23" w:lineRule="atLeast"/>
        <w:ind w:left="0"/>
        <w:jc w:val="both"/>
        <w:rPr>
          <w:rFonts w:cs="Times New Roman"/>
        </w:rPr>
      </w:pPr>
      <w:proofErr w:type="gramStart"/>
      <w:r>
        <w:rPr>
          <w:rFonts w:cs="Times New Roman"/>
        </w:rPr>
        <w:t>Figure 1.</w:t>
      </w:r>
      <w:proofErr w:type="gramEnd"/>
      <w:r>
        <w:rPr>
          <w:rFonts w:cs="Times New Roman"/>
        </w:rPr>
        <w:t xml:space="preserve"> The </w:t>
      </w:r>
      <w:proofErr w:type="spellStart"/>
      <w:r>
        <w:rPr>
          <w:rFonts w:cs="Times New Roman"/>
        </w:rPr>
        <w:t>venn</w:t>
      </w:r>
      <w:proofErr w:type="spellEnd"/>
      <w:r>
        <w:rPr>
          <w:rFonts w:cs="Times New Roman"/>
        </w:rPr>
        <w:t>-diagram to represent sustainability of systems</w:t>
      </w:r>
    </w:p>
    <w:p w:rsidR="00674480" w:rsidRDefault="00674480" w:rsidP="00B11CCE">
      <w:pPr>
        <w:pStyle w:val="ListParagraph"/>
        <w:spacing w:line="23" w:lineRule="atLeast"/>
        <w:ind w:left="0"/>
        <w:jc w:val="both"/>
        <w:rPr>
          <w:rFonts w:cs="Times New Roman"/>
        </w:rPr>
      </w:pPr>
    </w:p>
    <w:p w:rsidR="00B11CCE" w:rsidRPr="00E87457" w:rsidRDefault="00B11CCE" w:rsidP="00B11CCE">
      <w:pPr>
        <w:pStyle w:val="ListParagraph"/>
        <w:spacing w:line="23" w:lineRule="atLeast"/>
        <w:ind w:left="0"/>
        <w:jc w:val="both"/>
        <w:rPr>
          <w:rFonts w:cs="Times New Roman"/>
        </w:rPr>
      </w:pPr>
      <w:r>
        <w:rPr>
          <w:rFonts w:cs="Times New Roman"/>
        </w:rPr>
        <w:t xml:space="preserve">Metrics or indicators are of two types, </w:t>
      </w:r>
      <w:r>
        <w:rPr>
          <w:rFonts w:cs="Times New Roman"/>
          <w:i/>
        </w:rPr>
        <w:t xml:space="preserve">content </w:t>
      </w:r>
      <w:r>
        <w:rPr>
          <w:rFonts w:cs="Times New Roman"/>
        </w:rPr>
        <w:t xml:space="preserve">indicators and </w:t>
      </w:r>
      <w:r>
        <w:rPr>
          <w:rFonts w:cs="Times New Roman"/>
          <w:i/>
        </w:rPr>
        <w:t xml:space="preserve">performance </w:t>
      </w:r>
      <w:r>
        <w:rPr>
          <w:rFonts w:cs="Times New Roman"/>
        </w:rPr>
        <w:t xml:space="preserve">indicators. Content indicators measure the state of a system and performance indicators measure the behavior of a system. For sustainability in general and sustainable manufacturing in particular, performance indicators are assessed as the primary concern is to improve the sustainability characteristics of a system. For sustainability assessment, </w:t>
      </w:r>
      <w:r w:rsidRPr="0079083B">
        <w:rPr>
          <w:rFonts w:cs="Times New Roman"/>
        </w:rPr>
        <w:t xml:space="preserve">improvements </w:t>
      </w:r>
      <w:r>
        <w:rPr>
          <w:rFonts w:cs="Times New Roman"/>
        </w:rPr>
        <w:t xml:space="preserve">are measured </w:t>
      </w:r>
      <w:r w:rsidRPr="0079083B">
        <w:rPr>
          <w:rFonts w:cs="Times New Roman"/>
        </w:rPr>
        <w:t>in terms of three groups of metrics corresponding</w:t>
      </w:r>
      <w:r>
        <w:rPr>
          <w:rFonts w:cs="Times New Roman"/>
        </w:rPr>
        <w:t xml:space="preserve"> </w:t>
      </w:r>
      <w:r w:rsidRPr="0079083B">
        <w:rPr>
          <w:rFonts w:cs="Times New Roman"/>
        </w:rPr>
        <w:t>to the three aspects of sustainability: ecological metrics, economic</w:t>
      </w:r>
      <w:r>
        <w:rPr>
          <w:rFonts w:cs="Times New Roman"/>
        </w:rPr>
        <w:t xml:space="preserve"> </w:t>
      </w:r>
      <w:r w:rsidRPr="0079083B">
        <w:rPr>
          <w:rFonts w:cs="Times New Roman"/>
        </w:rPr>
        <w:t xml:space="preserve">metrics, and sociological metrics. </w:t>
      </w:r>
      <w:r>
        <w:rPr>
          <w:rFonts w:cs="Times New Roman"/>
        </w:rPr>
        <w:t xml:space="preserve">Figure 1 shows the three dimensions of sustainability, and the metrics measuring </w:t>
      </w:r>
      <w:r w:rsidRPr="0079083B">
        <w:rPr>
          <w:rFonts w:cs="Times New Roman"/>
        </w:rPr>
        <w:t xml:space="preserve">only one aspect of the system are </w:t>
      </w:r>
      <w:r>
        <w:rPr>
          <w:rFonts w:cs="Times New Roman"/>
        </w:rPr>
        <w:t xml:space="preserve">known as </w:t>
      </w:r>
      <w:r w:rsidRPr="0079083B">
        <w:rPr>
          <w:rFonts w:cs="Times New Roman"/>
        </w:rPr>
        <w:t>one-dimensional</w:t>
      </w:r>
      <w:r>
        <w:rPr>
          <w:rFonts w:cs="Times New Roman"/>
        </w:rPr>
        <w:t xml:space="preserve"> </w:t>
      </w:r>
      <w:r w:rsidRPr="0079083B">
        <w:rPr>
          <w:rFonts w:cs="Times New Roman"/>
        </w:rPr>
        <w:t>(1-D)</w:t>
      </w:r>
      <w:r>
        <w:rPr>
          <w:rFonts w:cs="Times New Roman"/>
        </w:rPr>
        <w:t xml:space="preserve"> metrics</w:t>
      </w:r>
      <w:r w:rsidRPr="0079083B">
        <w:rPr>
          <w:rFonts w:cs="Times New Roman"/>
        </w:rPr>
        <w:t xml:space="preserve">. </w:t>
      </w:r>
      <w:r>
        <w:rPr>
          <w:rFonts w:cs="Times New Roman"/>
        </w:rPr>
        <w:t xml:space="preserve">When indicators measure any two dimensions of sustainability simultaneously, they are known as </w:t>
      </w:r>
      <w:r w:rsidRPr="0079083B">
        <w:rPr>
          <w:rFonts w:cs="Times New Roman"/>
        </w:rPr>
        <w:t>2-D metrics</w:t>
      </w:r>
      <w:r>
        <w:rPr>
          <w:rFonts w:cs="Times New Roman"/>
        </w:rPr>
        <w:t xml:space="preserve">. </w:t>
      </w:r>
      <w:r w:rsidRPr="00E87457">
        <w:rPr>
          <w:rFonts w:cs="Times New Roman"/>
        </w:rPr>
        <w:t>3-D metrics can be obtained from the intersection</w:t>
      </w:r>
      <w:r>
        <w:rPr>
          <w:rFonts w:cs="Times New Roman"/>
        </w:rPr>
        <w:t xml:space="preserve"> </w:t>
      </w:r>
      <w:r w:rsidRPr="00E87457">
        <w:rPr>
          <w:rFonts w:cs="Times New Roman"/>
        </w:rPr>
        <w:t>of all three aspects, which could be called true sustainability metrics.</w:t>
      </w:r>
    </w:p>
    <w:p w:rsidR="00B11CCE" w:rsidRDefault="00B11CCE" w:rsidP="00B11CCE">
      <w:pPr>
        <w:pStyle w:val="ListParagraph"/>
        <w:spacing w:line="23" w:lineRule="atLeast"/>
        <w:ind w:left="0"/>
        <w:jc w:val="both"/>
        <w:rPr>
          <w:rFonts w:cs="Times New Roman"/>
        </w:rPr>
      </w:pPr>
      <w:r w:rsidRPr="0079083B">
        <w:rPr>
          <w:rFonts w:cs="Times New Roman"/>
        </w:rPr>
        <w:t>These seven types can be summarized below (</w:t>
      </w:r>
      <w:proofErr w:type="spellStart"/>
      <w:r w:rsidRPr="0079083B">
        <w:rPr>
          <w:rFonts w:cs="Times New Roman"/>
        </w:rPr>
        <w:t>Sikdar</w:t>
      </w:r>
      <w:proofErr w:type="spellEnd"/>
      <w:r w:rsidRPr="0079083B">
        <w:rPr>
          <w:rFonts w:cs="Times New Roman"/>
        </w:rPr>
        <w:t>, 2003):</w:t>
      </w:r>
    </w:p>
    <w:p w:rsidR="00B11CCE" w:rsidRDefault="00B11CCE" w:rsidP="00B11CCE">
      <w:pPr>
        <w:pStyle w:val="ListParagraph"/>
        <w:spacing w:line="23" w:lineRule="atLeast"/>
        <w:ind w:left="0"/>
        <w:jc w:val="both"/>
        <w:rPr>
          <w:rFonts w:cs="Times New Roman"/>
        </w:rPr>
      </w:pPr>
    </w:p>
    <w:p w:rsidR="00B11CCE" w:rsidRPr="00E87457" w:rsidRDefault="00B11CCE" w:rsidP="00B11CCE">
      <w:pPr>
        <w:pStyle w:val="ListParagraph"/>
        <w:spacing w:line="23" w:lineRule="atLeast"/>
        <w:jc w:val="both"/>
        <w:rPr>
          <w:rFonts w:cs="Times New Roman"/>
        </w:rPr>
      </w:pPr>
      <w:r w:rsidRPr="00E87457">
        <w:rPr>
          <w:rFonts w:cs="Times New Roman"/>
        </w:rPr>
        <w:t>Group 1 (1-D): economic, ecological, and sociological indicators</w:t>
      </w:r>
    </w:p>
    <w:p w:rsidR="00B11CCE" w:rsidRPr="00E87457" w:rsidRDefault="00B11CCE" w:rsidP="00B11CCE">
      <w:pPr>
        <w:pStyle w:val="ListParagraph"/>
        <w:spacing w:line="23" w:lineRule="atLeast"/>
        <w:jc w:val="both"/>
        <w:rPr>
          <w:rFonts w:cs="Times New Roman"/>
        </w:rPr>
      </w:pPr>
      <w:r w:rsidRPr="00E87457">
        <w:rPr>
          <w:rFonts w:cs="Times New Roman"/>
        </w:rPr>
        <w:t>Group 2 (2-D): socio-economic, eco-efficiency, and soci</w:t>
      </w:r>
      <w:r>
        <w:rPr>
          <w:rFonts w:cs="Times New Roman"/>
        </w:rPr>
        <w:t>o-ecological i</w:t>
      </w:r>
      <w:r w:rsidRPr="00E87457">
        <w:rPr>
          <w:rFonts w:cs="Times New Roman"/>
        </w:rPr>
        <w:t>ndicators</w:t>
      </w:r>
    </w:p>
    <w:p w:rsidR="00B11CCE" w:rsidRDefault="00B11CCE" w:rsidP="00B11CCE">
      <w:pPr>
        <w:pStyle w:val="ListParagraph"/>
        <w:spacing w:line="23" w:lineRule="atLeast"/>
        <w:jc w:val="both"/>
        <w:rPr>
          <w:rFonts w:cs="Times New Roman"/>
        </w:rPr>
      </w:pPr>
      <w:r w:rsidRPr="00E87457">
        <w:rPr>
          <w:rFonts w:cs="Times New Roman"/>
        </w:rPr>
        <w:t>Group 3 (3-D): sustainability indicators</w:t>
      </w:r>
    </w:p>
    <w:p w:rsidR="00B11CCE" w:rsidRDefault="00B11CCE" w:rsidP="00B11CCE">
      <w:pPr>
        <w:pStyle w:val="ListParagraph"/>
        <w:spacing w:line="23" w:lineRule="atLeast"/>
        <w:ind w:left="0"/>
        <w:jc w:val="both"/>
        <w:rPr>
          <w:rFonts w:cs="Times New Roman"/>
        </w:rPr>
      </w:pPr>
    </w:p>
    <w:p w:rsidR="00975284" w:rsidRDefault="007F1733" w:rsidP="00B11CCE">
      <w:pPr>
        <w:pStyle w:val="ListParagraph"/>
        <w:spacing w:line="23" w:lineRule="atLeast"/>
        <w:ind w:left="0"/>
        <w:jc w:val="both"/>
        <w:rPr>
          <w:rFonts w:cs="Times New Roman"/>
        </w:rPr>
      </w:pPr>
      <w:r w:rsidRPr="007F1733">
        <w:rPr>
          <w:rFonts w:cs="Times New Roman"/>
        </w:rPr>
        <w:t xml:space="preserve">Over the years, various institutions have made progress in assessing the relative sustainability </w:t>
      </w:r>
      <w:r w:rsidR="00674480" w:rsidRPr="007F1733">
        <w:rPr>
          <w:rFonts w:cs="Times New Roman"/>
        </w:rPr>
        <w:t>of particular systems</w:t>
      </w:r>
      <w:r w:rsidRPr="007F1733">
        <w:rPr>
          <w:rFonts w:cs="Times New Roman"/>
        </w:rPr>
        <w:t xml:space="preserve"> of interest. </w:t>
      </w:r>
      <w:r w:rsidR="00304293">
        <w:rPr>
          <w:rFonts w:cs="Times New Roman"/>
        </w:rPr>
        <w:t xml:space="preserve">The most significant </w:t>
      </w:r>
      <w:r w:rsidR="00674480">
        <w:rPr>
          <w:rFonts w:cs="Times New Roman"/>
        </w:rPr>
        <w:t xml:space="preserve">and relevant </w:t>
      </w:r>
      <w:r w:rsidR="00304293">
        <w:rPr>
          <w:rFonts w:cs="Times New Roman"/>
        </w:rPr>
        <w:t xml:space="preserve">methods are reviewed in this module. </w:t>
      </w:r>
      <w:r w:rsidR="00022999">
        <w:rPr>
          <w:rFonts w:cs="Times New Roman"/>
        </w:rPr>
        <w:t xml:space="preserve">It must be noted that the work from these institutions are the cumulative effort from several researchers </w:t>
      </w:r>
      <w:r w:rsidR="009653D0">
        <w:rPr>
          <w:rFonts w:cs="Times New Roman"/>
        </w:rPr>
        <w:t xml:space="preserve">and organizations </w:t>
      </w:r>
      <w:r w:rsidR="00022999">
        <w:rPr>
          <w:rFonts w:cs="Times New Roman"/>
        </w:rPr>
        <w:t>working together to bring a set of metrics that can be universally accepted. Also, since the definition of sustainability metrics is still a work in progress and no standards currently exist, often the clear distinction of 1-</w:t>
      </w:r>
      <w:r w:rsidR="00022999">
        <w:rPr>
          <w:rFonts w:cs="Times New Roman"/>
        </w:rPr>
        <w:lastRenderedPageBreak/>
        <w:t>D, 2-D and 3-D metrics is not made. These metrics are calle</w:t>
      </w:r>
      <w:r w:rsidR="00CA6B3C">
        <w:rPr>
          <w:rFonts w:cs="Times New Roman"/>
        </w:rPr>
        <w:t xml:space="preserve">d </w:t>
      </w:r>
      <w:r w:rsidR="00022999">
        <w:rPr>
          <w:rFonts w:cs="Times New Roman"/>
        </w:rPr>
        <w:t>‘sustainability’ metrics</w:t>
      </w:r>
      <w:r w:rsidR="00CA6B3C">
        <w:rPr>
          <w:rFonts w:cs="Times New Roman"/>
        </w:rPr>
        <w:t xml:space="preserve"> when</w:t>
      </w:r>
      <w:r w:rsidR="009653D0">
        <w:rPr>
          <w:rFonts w:cs="Times New Roman"/>
        </w:rPr>
        <w:t xml:space="preserve"> they may be just environmental </w:t>
      </w:r>
      <w:r w:rsidR="00CA6B3C">
        <w:rPr>
          <w:rFonts w:cs="Times New Roman"/>
        </w:rPr>
        <w:t>or socio-ecological metrics.</w:t>
      </w:r>
      <w:r w:rsidR="00022999">
        <w:rPr>
          <w:rFonts w:cs="Times New Roman"/>
        </w:rPr>
        <w:t xml:space="preserve"> </w:t>
      </w:r>
    </w:p>
    <w:p w:rsidR="00975284" w:rsidRDefault="00975284" w:rsidP="00B11CCE">
      <w:pPr>
        <w:pStyle w:val="ListParagraph"/>
        <w:spacing w:line="23" w:lineRule="atLeast"/>
        <w:ind w:left="0"/>
        <w:jc w:val="both"/>
        <w:rPr>
          <w:rFonts w:cs="Times New Roman"/>
        </w:rPr>
      </w:pPr>
    </w:p>
    <w:p w:rsidR="007F1733" w:rsidRPr="00DB56B1" w:rsidRDefault="00674480" w:rsidP="00B11CCE">
      <w:pPr>
        <w:pStyle w:val="ListParagraph"/>
        <w:spacing w:line="23" w:lineRule="atLeast"/>
        <w:ind w:left="0"/>
        <w:jc w:val="both"/>
        <w:rPr>
          <w:rFonts w:cs="Times New Roman"/>
        </w:rPr>
      </w:pPr>
      <w:r>
        <w:rPr>
          <w:rFonts w:cs="Times New Roman"/>
        </w:rPr>
        <w:t>A user may choose to compute all or some of these indicators, depending on the available resources.</w:t>
      </w:r>
      <w:r w:rsidR="00022999">
        <w:rPr>
          <w:rFonts w:cs="Times New Roman"/>
        </w:rPr>
        <w:t xml:space="preserve"> However, it must be warranted that the exclusion of indicators may leave important metrics that will not give the true picture of sustainability.</w:t>
      </w:r>
      <w:r>
        <w:rPr>
          <w:rFonts w:cs="Times New Roman"/>
        </w:rPr>
        <w:t xml:space="preserve"> </w:t>
      </w:r>
      <w:r w:rsidR="00F774DD">
        <w:rPr>
          <w:rFonts w:cs="Times New Roman"/>
        </w:rPr>
        <w:t xml:space="preserve"> </w:t>
      </w:r>
      <w:r w:rsidR="007F1733" w:rsidRPr="007F1733">
        <w:rPr>
          <w:rFonts w:cs="Times New Roman"/>
          <w:color w:val="221E1F"/>
        </w:rPr>
        <w:t xml:space="preserve"> </w:t>
      </w:r>
    </w:p>
    <w:p w:rsidR="00A36A80" w:rsidRPr="00A36A80" w:rsidRDefault="00A36A80" w:rsidP="00B11CCE">
      <w:pPr>
        <w:spacing w:line="23" w:lineRule="atLeast"/>
        <w:jc w:val="both"/>
        <w:rPr>
          <w:rFonts w:cs="Times New Roman"/>
          <w:b/>
          <w:i/>
          <w:lang w:val="en-GB"/>
        </w:rPr>
      </w:pPr>
      <w:proofErr w:type="spellStart"/>
      <w:r w:rsidRPr="00A36A80">
        <w:rPr>
          <w:rFonts w:cs="Times New Roman"/>
          <w:b/>
          <w:i/>
          <w:lang w:val="en-GB"/>
        </w:rPr>
        <w:t>AIChE</w:t>
      </w:r>
      <w:proofErr w:type="spellEnd"/>
      <w:r w:rsidRPr="00A36A80">
        <w:rPr>
          <w:rFonts w:cs="Times New Roman"/>
          <w:b/>
          <w:i/>
          <w:lang w:val="en-GB"/>
        </w:rPr>
        <w:t xml:space="preserve"> Sustainability Metrics Suite/ BRIDGES to Sustainability Metrics</w:t>
      </w:r>
    </w:p>
    <w:p w:rsidR="007F1733" w:rsidRDefault="007F1733" w:rsidP="00B11CCE">
      <w:pPr>
        <w:spacing w:line="23" w:lineRule="atLeast"/>
        <w:jc w:val="both"/>
        <w:rPr>
          <w:rFonts w:cs="Times New Roman"/>
          <w:lang w:val="en-GB"/>
        </w:rPr>
      </w:pPr>
      <w:r w:rsidRPr="007F1733">
        <w:rPr>
          <w:rFonts w:cs="Times New Roman"/>
          <w:lang w:val="en-GB"/>
        </w:rPr>
        <w:t xml:space="preserve">One of the earliest studies in the development of sustainability metrics for decision making was conducted by Canada’s National Round Table on the Environment and the Economy (NRTEE) </w:t>
      </w:r>
      <w:r w:rsidRPr="007F1733">
        <w:rPr>
          <w:rFonts w:cs="Times New Roman"/>
          <w:lang w:val="en-GB"/>
        </w:rPr>
        <w:fldChar w:fldCharType="begin"/>
      </w:r>
      <w:r w:rsidRPr="007F1733">
        <w:rPr>
          <w:rFonts w:cs="Times New Roman"/>
          <w:lang w:val="en-GB"/>
        </w:rPr>
        <w:instrText xml:space="preserve"> ADDIN EN.CITE &lt;EndNote&gt;&lt;Cite&gt;&lt;Author&gt;Tanzil&lt;/Author&gt;&lt;Year&gt;2003&lt;/Year&gt;&lt;RecNum&gt;6&lt;/RecNum&gt;&lt;DisplayText&gt;(Tanzil et al., 2003)&lt;/DisplayText&gt;&lt;record&gt;&lt;rec-number&gt;6&lt;/rec-number&gt;&lt;foreign-keys&gt;&lt;key app="EN" db-id="x5t5tfpx3d0svme0xdm50x09at0aesvftsrx"&gt;6&lt;/key&gt;&lt;/foreign-keys&gt;&lt;ref-type name="Conference Proceedings"&gt;10&lt;/ref-type&gt;&lt;contributors&gt;&lt;authors&gt;&lt;author&gt;Tanzil, D&lt;/author&gt;&lt;author&gt;Ma, Gang&lt;/author&gt;&lt;author&gt;Beloff, B&lt;/author&gt;&lt;/authors&gt;&lt;/contributors&gt;&lt;titles&gt;&lt;title&gt;Sustainability metrics&lt;/title&gt;&lt;secondary-title&gt;Innovating for Sustainability,” the 11th International Conference of Greening of Industry Network, San Francisco&lt;/secondary-title&gt;&lt;/titles&gt;&lt;pages&gt;12-15&lt;/pages&gt;&lt;dates&gt;&lt;year&gt;2003&lt;/year&gt;&lt;/dates&gt;&lt;urls&gt;&lt;/urls&gt;&lt;/record&gt;&lt;/Cite&gt;&lt;/EndNote&gt;</w:instrText>
      </w:r>
      <w:r w:rsidRPr="007F1733">
        <w:rPr>
          <w:rFonts w:cs="Times New Roman"/>
          <w:lang w:val="en-GB"/>
        </w:rPr>
        <w:fldChar w:fldCharType="separate"/>
      </w:r>
      <w:r w:rsidRPr="007F1733">
        <w:rPr>
          <w:rFonts w:cs="Times New Roman"/>
          <w:noProof/>
          <w:lang w:val="en-GB"/>
        </w:rPr>
        <w:t>(</w:t>
      </w:r>
      <w:hyperlink w:anchor="_ENREF_40" w:tooltip="Tanzil, 2003 #6" w:history="1">
        <w:r w:rsidRPr="007F1733">
          <w:rPr>
            <w:rFonts w:cs="Times New Roman"/>
            <w:noProof/>
            <w:lang w:val="en-GB"/>
          </w:rPr>
          <w:t>Tanzil et al., 2003</w:t>
        </w:r>
      </w:hyperlink>
      <w:r w:rsidRPr="007F1733">
        <w:rPr>
          <w:rFonts w:cs="Times New Roman"/>
          <w:noProof/>
          <w:lang w:val="en-GB"/>
        </w:rPr>
        <w:t>)</w:t>
      </w:r>
      <w:r w:rsidRPr="007F1733">
        <w:rPr>
          <w:rFonts w:cs="Times New Roman"/>
          <w:lang w:val="en-GB"/>
        </w:rPr>
        <w:fldChar w:fldCharType="end"/>
      </w:r>
      <w:r w:rsidRPr="007F1733">
        <w:rPr>
          <w:rFonts w:cs="Times New Roman"/>
          <w:lang w:val="en-GB"/>
        </w:rPr>
        <w:t xml:space="preserve">. This study by NTREE included eight companies from different sectors, and recommended a set of core metrics which included material intensity, energy intensity, and dispersion of regulated toxics per unit of products or services. This study also suggested the use of complementary metrics such as greenhouse gas intensity. The World Business Council for Sustainable Development (WBCSD) recommended that in addition to the material and energy consumptions, water consumption is another important sustainability metric. WBCSD also identified the emissions of greenhouse gases and ozone-depleting substances as the metrics having an environmental impact that can be calculated based on existing international consensus. The </w:t>
      </w:r>
      <w:proofErr w:type="spellStart"/>
      <w:r w:rsidRPr="007F1733">
        <w:rPr>
          <w:rFonts w:cs="Times New Roman"/>
          <w:lang w:val="en-GB"/>
        </w:rPr>
        <w:t>Center</w:t>
      </w:r>
      <w:proofErr w:type="spellEnd"/>
      <w:r w:rsidRPr="007F1733">
        <w:rPr>
          <w:rFonts w:cs="Times New Roman"/>
          <w:lang w:val="en-GB"/>
        </w:rPr>
        <w:t xml:space="preserve"> for Waste Reduction Technologies (CWRT) of the American Institute of Chemical Engineers (</w:t>
      </w:r>
      <w:proofErr w:type="spellStart"/>
      <w:r w:rsidRPr="007F1733">
        <w:rPr>
          <w:rFonts w:cs="Times New Roman"/>
          <w:lang w:val="en-GB"/>
        </w:rPr>
        <w:t>AIChE</w:t>
      </w:r>
      <w:proofErr w:type="spellEnd"/>
      <w:r w:rsidRPr="007F1733">
        <w:rPr>
          <w:rFonts w:cs="Times New Roman"/>
          <w:lang w:val="en-GB"/>
        </w:rPr>
        <w:t xml:space="preserve">) (currently the Institute for Sustainability, </w:t>
      </w:r>
      <w:proofErr w:type="spellStart"/>
      <w:r w:rsidRPr="007F1733">
        <w:rPr>
          <w:rFonts w:cs="Times New Roman"/>
          <w:lang w:val="en-GB"/>
        </w:rPr>
        <w:t>AIChE</w:t>
      </w:r>
      <w:proofErr w:type="spellEnd"/>
      <w:r w:rsidRPr="007F1733">
        <w:rPr>
          <w:rFonts w:cs="Times New Roman"/>
          <w:lang w:val="en-GB"/>
        </w:rPr>
        <w:t>) with representatives from member companies was instrumental in developing sustainability metrics further</w:t>
      </w:r>
      <w:r w:rsidR="00394D3C">
        <w:rPr>
          <w:rFonts w:cs="Times New Roman"/>
          <w:lang w:val="en-GB"/>
        </w:rPr>
        <w:t xml:space="preserve"> </w:t>
      </w:r>
      <w:r w:rsidR="00394D3C" w:rsidRPr="00394D3C">
        <w:rPr>
          <w:rFonts w:cs="Times New Roman"/>
          <w:lang w:val="en-GB"/>
        </w:rPr>
        <w:t>(</w:t>
      </w:r>
      <w:proofErr w:type="spellStart"/>
      <w:r w:rsidR="00394D3C" w:rsidRPr="00394D3C">
        <w:rPr>
          <w:rFonts w:cs="Times New Roman"/>
          <w:lang w:val="en-GB"/>
        </w:rPr>
        <w:t>Beloff</w:t>
      </w:r>
      <w:proofErr w:type="spellEnd"/>
      <w:r w:rsidR="00394D3C" w:rsidRPr="00394D3C">
        <w:rPr>
          <w:rFonts w:cs="Times New Roman"/>
          <w:lang w:val="en-GB"/>
        </w:rPr>
        <w:t xml:space="preserve"> and Beaver, 2000)</w:t>
      </w:r>
      <w:r w:rsidRPr="007F1733">
        <w:rPr>
          <w:rFonts w:cs="Times New Roman"/>
          <w:lang w:val="en-GB"/>
        </w:rPr>
        <w:t xml:space="preserve">. This effort concluded on a set of basic and complementary sustainability metrics expressed on a choice of denominators that include mass, revenue, or value added. BRIDGES to Sustainability™, a not-for-profit organization compiled all of this information and developed an automated methodology and software known as </w:t>
      </w:r>
      <w:proofErr w:type="spellStart"/>
      <w:proofErr w:type="gramStart"/>
      <w:r w:rsidRPr="007F1733">
        <w:rPr>
          <w:rFonts w:cs="Times New Roman"/>
          <w:lang w:val="en-GB"/>
        </w:rPr>
        <w:t>Bridgesworks</w:t>
      </w:r>
      <w:r w:rsidRPr="007F1733">
        <w:rPr>
          <w:rFonts w:cs="Times New Roman"/>
          <w:vertAlign w:val="superscript"/>
          <w:lang w:val="en-GB"/>
        </w:rPr>
        <w:t>TM</w:t>
      </w:r>
      <w:proofErr w:type="spellEnd"/>
      <w:r w:rsidR="006928B3">
        <w:rPr>
          <w:rFonts w:cs="Times New Roman"/>
          <w:lang w:val="en-GB"/>
        </w:rPr>
        <w:t xml:space="preserve">  </w:t>
      </w:r>
      <w:r w:rsidR="00394D3C" w:rsidRPr="00394D3C">
        <w:rPr>
          <w:rFonts w:cs="Times New Roman"/>
          <w:lang w:val="en-GB"/>
        </w:rPr>
        <w:t>(</w:t>
      </w:r>
      <w:proofErr w:type="gramEnd"/>
      <w:r w:rsidR="00394D3C" w:rsidRPr="00394D3C">
        <w:rPr>
          <w:rFonts w:cs="Times New Roman"/>
          <w:lang w:val="en-GB"/>
        </w:rPr>
        <w:t xml:space="preserve">Schwarz et al., 2002, </w:t>
      </w:r>
      <w:proofErr w:type="spellStart"/>
      <w:r w:rsidR="00394D3C" w:rsidRPr="00394D3C">
        <w:rPr>
          <w:rFonts w:cs="Times New Roman"/>
          <w:lang w:val="en-GB"/>
        </w:rPr>
        <w:t>Tanzil</w:t>
      </w:r>
      <w:proofErr w:type="spellEnd"/>
      <w:r w:rsidR="00394D3C" w:rsidRPr="00394D3C">
        <w:rPr>
          <w:rFonts w:cs="Times New Roman"/>
          <w:lang w:val="en-GB"/>
        </w:rPr>
        <w:t xml:space="preserve"> et al., 2003)</w:t>
      </w:r>
      <w:r w:rsidRPr="007F1733">
        <w:rPr>
          <w:rFonts w:cs="Times New Roman"/>
          <w:lang w:val="en-GB"/>
        </w:rPr>
        <w:t xml:space="preserve">. BRIDGES conducted the research on the metrics development with significant funding from the U.S. Dept. of Energy under a cooperative agreement with </w:t>
      </w:r>
      <w:proofErr w:type="spellStart"/>
      <w:r w:rsidRPr="007F1733">
        <w:rPr>
          <w:rFonts w:cs="Times New Roman"/>
          <w:lang w:val="en-GB"/>
        </w:rPr>
        <w:t>AIChE’s</w:t>
      </w:r>
      <w:proofErr w:type="spellEnd"/>
      <w:r w:rsidRPr="007F1733">
        <w:rPr>
          <w:rFonts w:cs="Times New Roman"/>
          <w:lang w:val="en-GB"/>
        </w:rPr>
        <w:t xml:space="preserve"> CWRT.</w:t>
      </w:r>
    </w:p>
    <w:p w:rsidR="00F826E3" w:rsidRPr="007F1733" w:rsidRDefault="00F826E3" w:rsidP="00F826E3">
      <w:pPr>
        <w:spacing w:line="23" w:lineRule="atLeast"/>
        <w:jc w:val="both"/>
        <w:rPr>
          <w:rFonts w:cs="Times New Roman"/>
          <w:lang w:val="en-GB"/>
        </w:rPr>
      </w:pPr>
      <w:proofErr w:type="gramStart"/>
      <w:r w:rsidRPr="007F1733">
        <w:rPr>
          <w:rFonts w:cs="Times New Roman"/>
          <w:lang w:val="en-GB"/>
        </w:rPr>
        <w:t xml:space="preserve">Table </w:t>
      </w:r>
      <w:r>
        <w:rPr>
          <w:rFonts w:cs="Times New Roman"/>
          <w:lang w:val="en-GB"/>
        </w:rPr>
        <w:t>1</w:t>
      </w:r>
      <w:r w:rsidRPr="007F1733">
        <w:rPr>
          <w:rFonts w:cs="Times New Roman"/>
          <w:lang w:val="en-GB"/>
        </w:rPr>
        <w:t>.</w:t>
      </w:r>
      <w:proofErr w:type="gramEnd"/>
      <w:r w:rsidRPr="007F1733">
        <w:rPr>
          <w:rFonts w:cs="Times New Roman"/>
          <w:lang w:val="en-GB"/>
        </w:rPr>
        <w:t xml:space="preserve"> Basic sustainability metrics </w:t>
      </w:r>
      <w:r w:rsidRPr="007F1733">
        <w:rPr>
          <w:rFonts w:cs="Times New Roman"/>
          <w:lang w:val="en-GB"/>
        </w:rPr>
        <w:fldChar w:fldCharType="begin"/>
      </w:r>
      <w:r w:rsidRPr="007F1733">
        <w:rPr>
          <w:rFonts w:cs="Times New Roman"/>
          <w:lang w:val="en-GB"/>
        </w:rPr>
        <w:instrText xml:space="preserve"> ADDIN EN.CITE &lt;EndNote&gt;&lt;Cite&gt;&lt;Author&gt;Tanzil&lt;/Author&gt;&lt;Year&gt;2003&lt;/Year&gt;&lt;RecNum&gt;6&lt;/RecNum&gt;&lt;DisplayText&gt;(Tanzil et al., 2003)&lt;/DisplayText&gt;&lt;record&gt;&lt;rec-number&gt;6&lt;/rec-number&gt;&lt;foreign-keys&gt;&lt;key app="EN" db-id="x5t5tfpx3d0svme0xdm50x09at0aesvftsrx"&gt;6&lt;/key&gt;&lt;/foreign-keys&gt;&lt;ref-type name="Conference Proceedings"&gt;10&lt;/ref-type&gt;&lt;contributors&gt;&lt;authors&gt;&lt;author&gt;Tanzil, D&lt;/author&gt;&lt;author&gt;Ma, Gang&lt;/author&gt;&lt;author&gt;Beloff, B&lt;/author&gt;&lt;/authors&gt;&lt;/contributors&gt;&lt;titles&gt;&lt;title&gt;Sustainability metrics&lt;/title&gt;&lt;secondary-title&gt;Innovating for Sustainability,” the 11th International Conference of Greening of Industry Network, San Francisco&lt;/secondary-title&gt;&lt;/titles&gt;&lt;pages&gt;12-15&lt;/pages&gt;&lt;dates&gt;&lt;year&gt;2003&lt;/year&gt;&lt;/dates&gt;&lt;urls&gt;&lt;/urls&gt;&lt;/record&gt;&lt;/Cite&gt;&lt;/EndNote&gt;</w:instrText>
      </w:r>
      <w:r w:rsidRPr="007F1733">
        <w:rPr>
          <w:rFonts w:cs="Times New Roman"/>
          <w:lang w:val="en-GB"/>
        </w:rPr>
        <w:fldChar w:fldCharType="separate"/>
      </w:r>
      <w:r w:rsidRPr="007F1733">
        <w:rPr>
          <w:rFonts w:cs="Times New Roman"/>
          <w:noProof/>
          <w:lang w:val="en-GB"/>
        </w:rPr>
        <w:t>(</w:t>
      </w:r>
      <w:hyperlink w:anchor="_ENREF_40" w:tooltip="Tanzil, 2003 #6" w:history="1">
        <w:r w:rsidRPr="007F1733">
          <w:rPr>
            <w:rFonts w:cs="Times New Roman"/>
            <w:noProof/>
            <w:lang w:val="en-GB"/>
          </w:rPr>
          <w:t>Tanzil et al., 2003</w:t>
        </w:r>
      </w:hyperlink>
      <w:r w:rsidRPr="007F1733">
        <w:rPr>
          <w:rFonts w:cs="Times New Roman"/>
          <w:noProof/>
          <w:lang w:val="en-GB"/>
        </w:rPr>
        <w:t>)</w:t>
      </w:r>
      <w:r w:rsidRPr="007F1733">
        <w:rPr>
          <w:rFonts w:cs="Times New Roman"/>
          <w:lang w:val="en-GB"/>
        </w:rPr>
        <w:fldChar w:fldCharType="end"/>
      </w:r>
    </w:p>
    <w:tbl>
      <w:tblPr>
        <w:tblStyle w:val="TableGrid"/>
        <w:tblW w:w="0" w:type="auto"/>
        <w:tblLayout w:type="fixed"/>
        <w:tblLook w:val="0620" w:firstRow="1" w:lastRow="0" w:firstColumn="0" w:lastColumn="0" w:noHBand="1" w:noVBand="1"/>
      </w:tblPr>
      <w:tblGrid>
        <w:gridCol w:w="4666"/>
        <w:gridCol w:w="4666"/>
      </w:tblGrid>
      <w:tr w:rsidR="00F826E3" w:rsidRPr="00EC6249" w:rsidTr="00D32634">
        <w:trPr>
          <w:trHeight w:val="146"/>
        </w:trPr>
        <w:tc>
          <w:tcPr>
            <w:tcW w:w="4666" w:type="dxa"/>
            <w:vMerge w:val="restart"/>
          </w:tcPr>
          <w:p w:rsidR="00F826E3" w:rsidRPr="00EC6249" w:rsidRDefault="00F826E3" w:rsidP="00D32634">
            <w:pPr>
              <w:spacing w:line="23" w:lineRule="atLeast"/>
              <w:rPr>
                <w:rFonts w:cs="Times New Roman"/>
                <w:color w:val="000000"/>
              </w:rPr>
            </w:pPr>
            <w:r w:rsidRPr="00EC6249">
              <w:rPr>
                <w:rFonts w:cs="Times New Roman"/>
                <w:b/>
                <w:bCs/>
                <w:color w:val="000000"/>
              </w:rPr>
              <w:t xml:space="preserve">Output: </w:t>
            </w:r>
          </w:p>
          <w:p w:rsidR="00F826E3" w:rsidRPr="00EC6249" w:rsidRDefault="00F826E3" w:rsidP="00D32634">
            <w:pPr>
              <w:spacing w:line="23" w:lineRule="atLeast"/>
              <w:jc w:val="center"/>
              <w:rPr>
                <w:rFonts w:cs="Times New Roman"/>
                <w:color w:val="000000"/>
              </w:rPr>
            </w:pPr>
            <w:r w:rsidRPr="00EC6249">
              <w:rPr>
                <w:rFonts w:cs="Times New Roman"/>
                <w:color w:val="000000"/>
              </w:rPr>
              <w:t>Mass of Product</w:t>
            </w:r>
          </w:p>
          <w:p w:rsidR="00F826E3" w:rsidRPr="00EC6249" w:rsidRDefault="00F826E3" w:rsidP="00D32634">
            <w:pPr>
              <w:spacing w:line="23" w:lineRule="atLeast"/>
              <w:jc w:val="center"/>
              <w:rPr>
                <w:rFonts w:cs="Times New Roman"/>
                <w:color w:val="000000"/>
              </w:rPr>
            </w:pPr>
            <w:r w:rsidRPr="00EC6249">
              <w:rPr>
                <w:rFonts w:cs="Times New Roman"/>
                <w:color w:val="000000"/>
              </w:rPr>
              <w:t>or</w:t>
            </w:r>
          </w:p>
          <w:p w:rsidR="00F826E3" w:rsidRPr="00EC6249" w:rsidRDefault="00F826E3" w:rsidP="00D32634">
            <w:pPr>
              <w:spacing w:line="23" w:lineRule="atLeast"/>
              <w:jc w:val="center"/>
              <w:rPr>
                <w:rFonts w:cs="Times New Roman"/>
                <w:color w:val="000000"/>
              </w:rPr>
            </w:pPr>
            <w:r w:rsidRPr="00EC6249">
              <w:rPr>
                <w:rFonts w:cs="Times New Roman"/>
                <w:color w:val="000000"/>
              </w:rPr>
              <w:t>Sales Revenue</w:t>
            </w:r>
          </w:p>
          <w:p w:rsidR="00F826E3" w:rsidRPr="00EC6249" w:rsidRDefault="00F826E3" w:rsidP="00D32634">
            <w:pPr>
              <w:spacing w:line="23" w:lineRule="atLeast"/>
              <w:jc w:val="center"/>
              <w:rPr>
                <w:rFonts w:cs="Times New Roman"/>
                <w:color w:val="000000"/>
              </w:rPr>
            </w:pPr>
            <w:r w:rsidRPr="00EC6249">
              <w:rPr>
                <w:rFonts w:cs="Times New Roman"/>
                <w:color w:val="000000"/>
              </w:rPr>
              <w:t>or</w:t>
            </w:r>
          </w:p>
          <w:p w:rsidR="00F826E3" w:rsidRPr="00EC6249" w:rsidRDefault="00F826E3" w:rsidP="00D32634">
            <w:pPr>
              <w:autoSpaceDE w:val="0"/>
              <w:autoSpaceDN w:val="0"/>
              <w:adjustRightInd w:val="0"/>
              <w:spacing w:line="23" w:lineRule="atLeast"/>
              <w:jc w:val="center"/>
              <w:rPr>
                <w:rFonts w:cs="Times New Roman"/>
                <w:b/>
                <w:bCs/>
                <w:color w:val="000000"/>
              </w:rPr>
            </w:pPr>
            <w:r w:rsidRPr="00EC6249">
              <w:rPr>
                <w:rFonts w:cs="Times New Roman"/>
                <w:color w:val="000000"/>
              </w:rPr>
              <w:t>Value-Added</w:t>
            </w:r>
          </w:p>
        </w:tc>
        <w:tc>
          <w:tcPr>
            <w:tcW w:w="4666" w:type="dxa"/>
          </w:tcPr>
          <w:p w:rsidR="00F826E3" w:rsidRPr="00EC6249" w:rsidRDefault="00F826E3" w:rsidP="00D32634">
            <w:pPr>
              <w:autoSpaceDE w:val="0"/>
              <w:autoSpaceDN w:val="0"/>
              <w:adjustRightInd w:val="0"/>
              <w:spacing w:line="23" w:lineRule="atLeast"/>
              <w:rPr>
                <w:rFonts w:cs="Times New Roman"/>
                <w:color w:val="000000"/>
              </w:rPr>
            </w:pPr>
            <w:r w:rsidRPr="00EC6249">
              <w:rPr>
                <w:rFonts w:cs="Times New Roman"/>
                <w:b/>
                <w:bCs/>
                <w:color w:val="000000"/>
              </w:rPr>
              <w:t xml:space="preserve">Material Intensity </w:t>
            </w:r>
          </w:p>
        </w:tc>
      </w:tr>
      <w:tr w:rsidR="00F826E3" w:rsidRPr="00EC6249" w:rsidTr="00D32634">
        <w:trPr>
          <w:trHeight w:val="144"/>
        </w:trPr>
        <w:tc>
          <w:tcPr>
            <w:tcW w:w="4666" w:type="dxa"/>
            <w:vMerge/>
          </w:tcPr>
          <w:p w:rsidR="00F826E3" w:rsidRPr="00EC6249" w:rsidRDefault="00F826E3" w:rsidP="00D32634">
            <w:pPr>
              <w:autoSpaceDE w:val="0"/>
              <w:autoSpaceDN w:val="0"/>
              <w:adjustRightInd w:val="0"/>
              <w:spacing w:line="23" w:lineRule="atLeast"/>
              <w:jc w:val="center"/>
              <w:rPr>
                <w:rFonts w:cs="Times New Roman"/>
                <w:color w:val="000000"/>
              </w:rPr>
            </w:pPr>
          </w:p>
        </w:tc>
        <w:tc>
          <w:tcPr>
            <w:tcW w:w="4666" w:type="dxa"/>
          </w:tcPr>
          <w:p w:rsidR="00F826E3" w:rsidRPr="00EC6249" w:rsidRDefault="00F826E3" w:rsidP="00D32634">
            <w:pPr>
              <w:autoSpaceDE w:val="0"/>
              <w:autoSpaceDN w:val="0"/>
              <w:adjustRightInd w:val="0"/>
              <w:spacing w:line="23" w:lineRule="atLeast"/>
              <w:jc w:val="center"/>
              <w:rPr>
                <w:rFonts w:cs="Times New Roman"/>
                <w:color w:val="000000"/>
              </w:rPr>
            </w:pPr>
            <w:r w:rsidRPr="00EC6249">
              <w:rPr>
                <w:rFonts w:cs="Times New Roman"/>
                <w:color w:val="000000"/>
                <w:position w:val="-28"/>
              </w:rPr>
              <w:object w:dxaOrig="41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205.25pt;height:33.3pt" o:ole="">
                  <v:imagedata r:id="rId8" o:title=""/>
                </v:shape>
                <o:OLEObject Type="Embed" ProgID="Equation.3" ShapeID="_x0000_i1035" DrawAspect="Content" ObjectID="_1485530796" r:id="rId9"/>
              </w:object>
            </w:r>
          </w:p>
        </w:tc>
      </w:tr>
      <w:tr w:rsidR="00F826E3" w:rsidRPr="00EC6249" w:rsidTr="00D32634">
        <w:trPr>
          <w:trHeight w:val="146"/>
        </w:trPr>
        <w:tc>
          <w:tcPr>
            <w:tcW w:w="4666" w:type="dxa"/>
            <w:vMerge/>
          </w:tcPr>
          <w:p w:rsidR="00F826E3" w:rsidRPr="00EC6249" w:rsidRDefault="00F826E3" w:rsidP="00D32634">
            <w:pPr>
              <w:autoSpaceDE w:val="0"/>
              <w:autoSpaceDN w:val="0"/>
              <w:adjustRightInd w:val="0"/>
              <w:spacing w:line="23" w:lineRule="atLeast"/>
              <w:rPr>
                <w:rFonts w:cs="Times New Roman"/>
                <w:b/>
                <w:bCs/>
                <w:color w:val="000000"/>
              </w:rPr>
            </w:pPr>
          </w:p>
        </w:tc>
        <w:tc>
          <w:tcPr>
            <w:tcW w:w="4666" w:type="dxa"/>
          </w:tcPr>
          <w:p w:rsidR="00F826E3" w:rsidRPr="00EC6249" w:rsidRDefault="00F826E3" w:rsidP="00D32634">
            <w:pPr>
              <w:autoSpaceDE w:val="0"/>
              <w:autoSpaceDN w:val="0"/>
              <w:adjustRightInd w:val="0"/>
              <w:spacing w:line="23" w:lineRule="atLeast"/>
              <w:rPr>
                <w:rFonts w:cs="Times New Roman"/>
                <w:color w:val="000000"/>
              </w:rPr>
            </w:pPr>
            <w:r w:rsidRPr="00EC6249">
              <w:rPr>
                <w:rFonts w:cs="Times New Roman"/>
                <w:b/>
                <w:bCs/>
                <w:color w:val="000000"/>
              </w:rPr>
              <w:t xml:space="preserve">Water Intensity </w:t>
            </w:r>
          </w:p>
        </w:tc>
      </w:tr>
      <w:tr w:rsidR="00F826E3" w:rsidRPr="00EC6249" w:rsidTr="00D32634">
        <w:trPr>
          <w:trHeight w:val="144"/>
        </w:trPr>
        <w:tc>
          <w:tcPr>
            <w:tcW w:w="4666" w:type="dxa"/>
            <w:vMerge/>
          </w:tcPr>
          <w:p w:rsidR="00F826E3" w:rsidRPr="00EC6249" w:rsidRDefault="00F826E3" w:rsidP="00D32634">
            <w:pPr>
              <w:autoSpaceDE w:val="0"/>
              <w:autoSpaceDN w:val="0"/>
              <w:adjustRightInd w:val="0"/>
              <w:spacing w:line="23" w:lineRule="atLeast"/>
              <w:jc w:val="center"/>
              <w:rPr>
                <w:rFonts w:cs="Times New Roman"/>
                <w:color w:val="000000"/>
              </w:rPr>
            </w:pPr>
          </w:p>
        </w:tc>
        <w:tc>
          <w:tcPr>
            <w:tcW w:w="4666" w:type="dxa"/>
          </w:tcPr>
          <w:p w:rsidR="00F826E3" w:rsidRPr="00EC6249" w:rsidRDefault="00F826E3" w:rsidP="00D32634">
            <w:pPr>
              <w:autoSpaceDE w:val="0"/>
              <w:autoSpaceDN w:val="0"/>
              <w:adjustRightInd w:val="0"/>
              <w:spacing w:line="23" w:lineRule="atLeast"/>
              <w:jc w:val="center"/>
              <w:rPr>
                <w:rFonts w:cs="Times New Roman"/>
                <w:color w:val="000000"/>
              </w:rPr>
            </w:pPr>
            <w:r w:rsidRPr="00EC6249">
              <w:rPr>
                <w:rFonts w:cs="Times New Roman"/>
                <w:color w:val="000000"/>
                <w:position w:val="-28"/>
              </w:rPr>
              <w:object w:dxaOrig="2880" w:dyaOrig="660">
                <v:shape id="_x0000_i1036" type="#_x0000_t75" style="width:2in;height:33.3pt" o:ole="">
                  <v:imagedata r:id="rId10" o:title=""/>
                </v:shape>
                <o:OLEObject Type="Embed" ProgID="Equation.3" ShapeID="_x0000_i1036" DrawAspect="Content" ObjectID="_1485530797" r:id="rId11"/>
              </w:object>
            </w:r>
            <w:r w:rsidRPr="00EC6249">
              <w:rPr>
                <w:rFonts w:cs="Times New Roman"/>
                <w:color w:val="000000"/>
              </w:rPr>
              <w:t xml:space="preserve"> </w:t>
            </w:r>
          </w:p>
        </w:tc>
      </w:tr>
      <w:tr w:rsidR="00F826E3" w:rsidRPr="00EC6249" w:rsidTr="00D32634">
        <w:trPr>
          <w:trHeight w:val="146"/>
        </w:trPr>
        <w:tc>
          <w:tcPr>
            <w:tcW w:w="4666" w:type="dxa"/>
            <w:vMerge/>
          </w:tcPr>
          <w:p w:rsidR="00F826E3" w:rsidRPr="00EC6249" w:rsidRDefault="00F826E3" w:rsidP="00D32634">
            <w:pPr>
              <w:autoSpaceDE w:val="0"/>
              <w:autoSpaceDN w:val="0"/>
              <w:adjustRightInd w:val="0"/>
              <w:spacing w:line="23" w:lineRule="atLeast"/>
              <w:rPr>
                <w:rFonts w:cs="Times New Roman"/>
                <w:b/>
                <w:bCs/>
                <w:color w:val="000000"/>
              </w:rPr>
            </w:pPr>
          </w:p>
        </w:tc>
        <w:tc>
          <w:tcPr>
            <w:tcW w:w="4666" w:type="dxa"/>
          </w:tcPr>
          <w:p w:rsidR="00F826E3" w:rsidRPr="00EC6249" w:rsidRDefault="00F826E3" w:rsidP="00D32634">
            <w:pPr>
              <w:autoSpaceDE w:val="0"/>
              <w:autoSpaceDN w:val="0"/>
              <w:adjustRightInd w:val="0"/>
              <w:spacing w:line="23" w:lineRule="atLeast"/>
              <w:rPr>
                <w:rFonts w:cs="Times New Roman"/>
                <w:color w:val="000000"/>
              </w:rPr>
            </w:pPr>
            <w:r w:rsidRPr="00EC6249">
              <w:rPr>
                <w:rFonts w:cs="Times New Roman"/>
                <w:b/>
                <w:bCs/>
                <w:color w:val="000000"/>
              </w:rPr>
              <w:t xml:space="preserve">Energy Intensity </w:t>
            </w:r>
          </w:p>
        </w:tc>
      </w:tr>
      <w:tr w:rsidR="00F826E3" w:rsidRPr="00EC6249" w:rsidTr="00D32634">
        <w:trPr>
          <w:trHeight w:val="144"/>
        </w:trPr>
        <w:tc>
          <w:tcPr>
            <w:tcW w:w="4666" w:type="dxa"/>
            <w:vMerge/>
          </w:tcPr>
          <w:p w:rsidR="00F826E3" w:rsidRPr="00EC6249" w:rsidRDefault="00F826E3" w:rsidP="00D32634">
            <w:pPr>
              <w:autoSpaceDE w:val="0"/>
              <w:autoSpaceDN w:val="0"/>
              <w:adjustRightInd w:val="0"/>
              <w:spacing w:line="23" w:lineRule="atLeast"/>
              <w:jc w:val="center"/>
              <w:rPr>
                <w:rFonts w:cs="Times New Roman"/>
                <w:color w:val="000000"/>
              </w:rPr>
            </w:pPr>
          </w:p>
        </w:tc>
        <w:tc>
          <w:tcPr>
            <w:tcW w:w="4666" w:type="dxa"/>
          </w:tcPr>
          <w:p w:rsidR="00F826E3" w:rsidRPr="00EC6249" w:rsidRDefault="00F826E3" w:rsidP="00D32634">
            <w:pPr>
              <w:autoSpaceDE w:val="0"/>
              <w:autoSpaceDN w:val="0"/>
              <w:adjustRightInd w:val="0"/>
              <w:spacing w:line="23" w:lineRule="atLeast"/>
              <w:jc w:val="center"/>
              <w:rPr>
                <w:rFonts w:cs="Times New Roman"/>
                <w:color w:val="000000"/>
              </w:rPr>
            </w:pPr>
            <w:r w:rsidRPr="00EC6249">
              <w:rPr>
                <w:rFonts w:cs="Times New Roman"/>
                <w:color w:val="000000"/>
                <w:position w:val="-28"/>
              </w:rPr>
              <w:object w:dxaOrig="4340" w:dyaOrig="660">
                <v:shape id="_x0000_i1037" type="#_x0000_t75" style="width:217.05pt;height:33.3pt" o:ole="">
                  <v:imagedata r:id="rId12" o:title=""/>
                </v:shape>
                <o:OLEObject Type="Embed" ProgID="Equation.3" ShapeID="_x0000_i1037" DrawAspect="Content" ObjectID="_1485530798" r:id="rId13"/>
              </w:object>
            </w:r>
          </w:p>
        </w:tc>
      </w:tr>
      <w:tr w:rsidR="00F826E3" w:rsidRPr="00EC6249" w:rsidTr="00D32634">
        <w:trPr>
          <w:trHeight w:val="146"/>
        </w:trPr>
        <w:tc>
          <w:tcPr>
            <w:tcW w:w="4666" w:type="dxa"/>
            <w:vMerge/>
          </w:tcPr>
          <w:p w:rsidR="00F826E3" w:rsidRPr="00EC6249" w:rsidRDefault="00F826E3" w:rsidP="00D32634">
            <w:pPr>
              <w:autoSpaceDE w:val="0"/>
              <w:autoSpaceDN w:val="0"/>
              <w:adjustRightInd w:val="0"/>
              <w:spacing w:line="23" w:lineRule="atLeast"/>
              <w:rPr>
                <w:rFonts w:cs="Times New Roman"/>
                <w:b/>
                <w:bCs/>
                <w:color w:val="000000"/>
              </w:rPr>
            </w:pPr>
          </w:p>
        </w:tc>
        <w:tc>
          <w:tcPr>
            <w:tcW w:w="4666" w:type="dxa"/>
          </w:tcPr>
          <w:p w:rsidR="00F826E3" w:rsidRPr="00EC6249" w:rsidRDefault="00F826E3" w:rsidP="00D32634">
            <w:pPr>
              <w:autoSpaceDE w:val="0"/>
              <w:autoSpaceDN w:val="0"/>
              <w:adjustRightInd w:val="0"/>
              <w:spacing w:line="23" w:lineRule="atLeast"/>
              <w:rPr>
                <w:rFonts w:cs="Times New Roman"/>
                <w:color w:val="000000"/>
              </w:rPr>
            </w:pPr>
            <w:r w:rsidRPr="00EC6249">
              <w:rPr>
                <w:rFonts w:cs="Times New Roman"/>
                <w:b/>
                <w:bCs/>
                <w:color w:val="000000"/>
              </w:rPr>
              <w:t xml:space="preserve">Solid Waste to Landfill </w:t>
            </w:r>
          </w:p>
        </w:tc>
      </w:tr>
      <w:tr w:rsidR="00F826E3" w:rsidRPr="00EC6249" w:rsidTr="00D32634">
        <w:trPr>
          <w:trHeight w:val="144"/>
        </w:trPr>
        <w:tc>
          <w:tcPr>
            <w:tcW w:w="4666" w:type="dxa"/>
            <w:vMerge/>
          </w:tcPr>
          <w:p w:rsidR="00F826E3" w:rsidRPr="00EC6249" w:rsidRDefault="00F826E3" w:rsidP="00D32634">
            <w:pPr>
              <w:autoSpaceDE w:val="0"/>
              <w:autoSpaceDN w:val="0"/>
              <w:adjustRightInd w:val="0"/>
              <w:spacing w:line="23" w:lineRule="atLeast"/>
              <w:jc w:val="center"/>
              <w:rPr>
                <w:rFonts w:cs="Times New Roman"/>
                <w:color w:val="000000"/>
              </w:rPr>
            </w:pPr>
          </w:p>
        </w:tc>
        <w:tc>
          <w:tcPr>
            <w:tcW w:w="4666" w:type="dxa"/>
          </w:tcPr>
          <w:p w:rsidR="00F826E3" w:rsidRPr="00EC6249" w:rsidRDefault="00F826E3" w:rsidP="00D32634">
            <w:pPr>
              <w:autoSpaceDE w:val="0"/>
              <w:autoSpaceDN w:val="0"/>
              <w:adjustRightInd w:val="0"/>
              <w:spacing w:line="23" w:lineRule="atLeast"/>
              <w:jc w:val="center"/>
              <w:rPr>
                <w:rFonts w:cs="Times New Roman"/>
                <w:color w:val="000000"/>
              </w:rPr>
            </w:pPr>
            <w:r w:rsidRPr="00EC6249">
              <w:rPr>
                <w:rFonts w:cs="Times New Roman"/>
                <w:color w:val="000000"/>
                <w:position w:val="-28"/>
              </w:rPr>
              <w:object w:dxaOrig="3600" w:dyaOrig="660">
                <v:shape id="_x0000_i1038" type="#_x0000_t75" style="width:180.55pt;height:33.3pt" o:ole="">
                  <v:imagedata r:id="rId14" o:title=""/>
                </v:shape>
                <o:OLEObject Type="Embed" ProgID="Equation.3" ShapeID="_x0000_i1038" DrawAspect="Content" ObjectID="_1485530799" r:id="rId15"/>
              </w:object>
            </w:r>
            <w:r w:rsidRPr="00EC6249">
              <w:rPr>
                <w:rFonts w:cs="Times New Roman"/>
                <w:color w:val="000000"/>
              </w:rPr>
              <w:t xml:space="preserve"> </w:t>
            </w:r>
          </w:p>
        </w:tc>
      </w:tr>
      <w:tr w:rsidR="00F826E3" w:rsidRPr="00EC6249" w:rsidTr="00D32634">
        <w:trPr>
          <w:trHeight w:val="146"/>
        </w:trPr>
        <w:tc>
          <w:tcPr>
            <w:tcW w:w="4666" w:type="dxa"/>
            <w:vMerge/>
          </w:tcPr>
          <w:p w:rsidR="00F826E3" w:rsidRPr="00EC6249" w:rsidRDefault="00F826E3" w:rsidP="00D32634">
            <w:pPr>
              <w:autoSpaceDE w:val="0"/>
              <w:autoSpaceDN w:val="0"/>
              <w:adjustRightInd w:val="0"/>
              <w:spacing w:line="23" w:lineRule="atLeast"/>
              <w:rPr>
                <w:rFonts w:cs="Times New Roman"/>
                <w:b/>
                <w:bCs/>
                <w:color w:val="000000"/>
              </w:rPr>
            </w:pPr>
          </w:p>
        </w:tc>
        <w:tc>
          <w:tcPr>
            <w:tcW w:w="4666" w:type="dxa"/>
          </w:tcPr>
          <w:p w:rsidR="00F826E3" w:rsidRPr="00EC6249" w:rsidRDefault="00F826E3" w:rsidP="00D32634">
            <w:pPr>
              <w:autoSpaceDE w:val="0"/>
              <w:autoSpaceDN w:val="0"/>
              <w:adjustRightInd w:val="0"/>
              <w:spacing w:line="23" w:lineRule="atLeast"/>
              <w:rPr>
                <w:rFonts w:cs="Times New Roman"/>
                <w:color w:val="000000"/>
              </w:rPr>
            </w:pPr>
            <w:r w:rsidRPr="00EC6249">
              <w:rPr>
                <w:rFonts w:cs="Times New Roman"/>
                <w:b/>
                <w:bCs/>
                <w:color w:val="000000"/>
              </w:rPr>
              <w:t xml:space="preserve">Toxic Release </w:t>
            </w:r>
          </w:p>
        </w:tc>
      </w:tr>
      <w:tr w:rsidR="00F826E3" w:rsidRPr="00EC6249" w:rsidTr="00D32634">
        <w:trPr>
          <w:trHeight w:val="144"/>
        </w:trPr>
        <w:tc>
          <w:tcPr>
            <w:tcW w:w="4666" w:type="dxa"/>
            <w:vMerge/>
          </w:tcPr>
          <w:p w:rsidR="00F826E3" w:rsidRPr="00EC6249" w:rsidRDefault="00F826E3" w:rsidP="00D32634">
            <w:pPr>
              <w:autoSpaceDE w:val="0"/>
              <w:autoSpaceDN w:val="0"/>
              <w:adjustRightInd w:val="0"/>
              <w:spacing w:line="23" w:lineRule="atLeast"/>
              <w:jc w:val="center"/>
              <w:rPr>
                <w:rFonts w:cs="Times New Roman"/>
                <w:color w:val="000000"/>
              </w:rPr>
            </w:pPr>
          </w:p>
        </w:tc>
        <w:tc>
          <w:tcPr>
            <w:tcW w:w="4666" w:type="dxa"/>
          </w:tcPr>
          <w:p w:rsidR="00F826E3" w:rsidRPr="00EC6249" w:rsidRDefault="00F826E3" w:rsidP="00D32634">
            <w:pPr>
              <w:autoSpaceDE w:val="0"/>
              <w:autoSpaceDN w:val="0"/>
              <w:adjustRightInd w:val="0"/>
              <w:spacing w:line="23" w:lineRule="atLeast"/>
              <w:jc w:val="center"/>
              <w:rPr>
                <w:rFonts w:cs="Times New Roman"/>
                <w:color w:val="000000"/>
              </w:rPr>
            </w:pPr>
            <w:r w:rsidRPr="00EC6249">
              <w:rPr>
                <w:rFonts w:cs="Times New Roman"/>
                <w:color w:val="000000"/>
                <w:position w:val="-28"/>
              </w:rPr>
              <w:object w:dxaOrig="4099" w:dyaOrig="660">
                <v:shape id="_x0000_i1039" type="#_x0000_t75" style="width:205.25pt;height:33.3pt" o:ole="">
                  <v:imagedata r:id="rId16" o:title=""/>
                </v:shape>
                <o:OLEObject Type="Embed" ProgID="Equation.3" ShapeID="_x0000_i1039" DrawAspect="Content" ObjectID="_1485530800" r:id="rId17"/>
              </w:object>
            </w:r>
            <w:r w:rsidRPr="00EC6249">
              <w:rPr>
                <w:rFonts w:cs="Times New Roman"/>
                <w:color w:val="000000"/>
              </w:rPr>
              <w:t xml:space="preserve"> </w:t>
            </w:r>
          </w:p>
        </w:tc>
      </w:tr>
    </w:tbl>
    <w:p w:rsidR="00F826E3" w:rsidRDefault="00F826E3" w:rsidP="00B11CCE">
      <w:pPr>
        <w:spacing w:line="23" w:lineRule="atLeast"/>
        <w:jc w:val="both"/>
        <w:rPr>
          <w:rFonts w:cs="Times New Roman"/>
          <w:lang w:val="en-GB"/>
        </w:rPr>
      </w:pPr>
    </w:p>
    <w:p w:rsidR="00B11CCE" w:rsidRDefault="00B11CCE" w:rsidP="00B11CCE">
      <w:pPr>
        <w:spacing w:line="23" w:lineRule="atLeast"/>
        <w:jc w:val="both"/>
        <w:rPr>
          <w:rFonts w:cs="Times New Roman"/>
          <w:lang w:val="en-GB"/>
        </w:rPr>
      </w:pPr>
      <w:r w:rsidRPr="007F1733">
        <w:rPr>
          <w:rFonts w:cs="Times New Roman"/>
          <w:lang w:val="en-GB"/>
        </w:rPr>
        <w:t xml:space="preserve">Basic and complementary metrics under six impact categories were chosen to represent: material, energy, water, solid wastes, toxic release, and pollutant effects. The five basic indicators corresponding to these categories were: material intensity, energy intensity, water consumption, toxic emissions, and pollutant </w:t>
      </w:r>
      <w:r w:rsidRPr="007F1733">
        <w:rPr>
          <w:rFonts w:cs="Times New Roman"/>
          <w:lang w:val="en-GB"/>
        </w:rPr>
        <w:lastRenderedPageBreak/>
        <w:t xml:space="preserve">emissions (Table </w:t>
      </w:r>
      <w:r>
        <w:rPr>
          <w:rFonts w:cs="Times New Roman"/>
          <w:lang w:val="en-GB"/>
        </w:rPr>
        <w:t>1</w:t>
      </w:r>
      <w:r w:rsidRPr="007F1733">
        <w:rPr>
          <w:rFonts w:cs="Times New Roman"/>
          <w:lang w:val="en-GB"/>
        </w:rPr>
        <w:t xml:space="preserve">). </w:t>
      </w:r>
      <w:r>
        <w:rPr>
          <w:rFonts w:cs="Times New Roman"/>
          <w:lang w:val="en-GB"/>
        </w:rPr>
        <w:t>These ratios are</w:t>
      </w:r>
      <w:r w:rsidRPr="007F1733">
        <w:rPr>
          <w:rFonts w:cs="Times New Roman"/>
          <w:lang w:val="en-GB"/>
        </w:rPr>
        <w:t xml:space="preserve"> constructed with environmental impacts in the numerator and a physically- or financially-meaningful representatio</w:t>
      </w:r>
      <w:r>
        <w:rPr>
          <w:rFonts w:cs="Times New Roman"/>
          <w:lang w:val="en-GB"/>
        </w:rPr>
        <w:t xml:space="preserve">n of output in the denominator. A process which has a smaller value for the metric in Table 1 is </w:t>
      </w:r>
      <w:r w:rsidRPr="007F1733">
        <w:rPr>
          <w:rFonts w:cs="Times New Roman"/>
          <w:lang w:val="en-GB"/>
        </w:rPr>
        <w:t xml:space="preserve">the better </w:t>
      </w:r>
      <w:r>
        <w:rPr>
          <w:rFonts w:cs="Times New Roman"/>
          <w:lang w:val="en-GB"/>
        </w:rPr>
        <w:t>process</w:t>
      </w:r>
      <w:r w:rsidRPr="007F1733">
        <w:rPr>
          <w:rFonts w:cs="Times New Roman"/>
          <w:lang w:val="en-GB"/>
        </w:rPr>
        <w:t>. These metrics have been used in various manufacturing facilities like Formosa Plastics (petrochemical), Interface Corporation (carpeting) and Caterpillar Inc. (tool manufacturing). Examples of complementary metrics related to the six impact</w:t>
      </w:r>
      <w:r>
        <w:rPr>
          <w:rFonts w:cs="Times New Roman"/>
          <w:lang w:val="en-GB"/>
        </w:rPr>
        <w:t xml:space="preserve"> categories are given in Table 2</w:t>
      </w:r>
      <w:r w:rsidRPr="007F1733">
        <w:rPr>
          <w:rFonts w:cs="Times New Roman"/>
          <w:lang w:val="en-GB"/>
        </w:rPr>
        <w:t>.</w:t>
      </w:r>
    </w:p>
    <w:p w:rsidR="007F1733" w:rsidRPr="007F1733" w:rsidRDefault="007F1733" w:rsidP="00B11CCE">
      <w:pPr>
        <w:spacing w:after="0" w:line="23" w:lineRule="atLeast"/>
        <w:jc w:val="both"/>
        <w:rPr>
          <w:rFonts w:cs="Times New Roman"/>
          <w:lang w:val="en-GB"/>
        </w:rPr>
      </w:pPr>
      <w:proofErr w:type="gramStart"/>
      <w:r w:rsidRPr="007F1733">
        <w:rPr>
          <w:rFonts w:cs="Times New Roman"/>
          <w:lang w:val="en-GB"/>
        </w:rPr>
        <w:t xml:space="preserve">Table </w:t>
      </w:r>
      <w:r w:rsidR="00EC6249">
        <w:rPr>
          <w:rFonts w:cs="Times New Roman"/>
          <w:lang w:val="en-GB"/>
        </w:rPr>
        <w:t>2</w:t>
      </w:r>
      <w:r w:rsidRPr="007F1733">
        <w:rPr>
          <w:rFonts w:cs="Times New Roman"/>
          <w:lang w:val="en-GB"/>
        </w:rPr>
        <w:t>.</w:t>
      </w:r>
      <w:proofErr w:type="gramEnd"/>
      <w:r w:rsidRPr="007F1733">
        <w:rPr>
          <w:rFonts w:cs="Times New Roman"/>
          <w:lang w:val="en-GB"/>
        </w:rPr>
        <w:t xml:space="preserve"> Examples of complementary sustainability metrics </w:t>
      </w:r>
      <w:r w:rsidRPr="007F1733">
        <w:rPr>
          <w:rFonts w:cs="Times New Roman"/>
          <w:lang w:val="en-GB"/>
        </w:rPr>
        <w:fldChar w:fldCharType="begin"/>
      </w:r>
      <w:r w:rsidRPr="007F1733">
        <w:rPr>
          <w:rFonts w:cs="Times New Roman"/>
          <w:lang w:val="en-GB"/>
        </w:rPr>
        <w:instrText xml:space="preserve"> ADDIN EN.CITE &lt;EndNote&gt;&lt;Cite&gt;&lt;Author&gt;Tanzil&lt;/Author&gt;&lt;Year&gt;2003&lt;/Year&gt;&lt;RecNum&gt;6&lt;/RecNum&gt;&lt;DisplayText&gt;(Tanzil et al., 2003)&lt;/DisplayText&gt;&lt;record&gt;&lt;rec-number&gt;6&lt;/rec-number&gt;&lt;foreign-keys&gt;&lt;key app="EN" db-id="x5t5tfpx3d0svme0xdm50x09at0aesvftsrx"&gt;6&lt;/key&gt;&lt;/foreign-keys&gt;&lt;ref-type name="Conference Proceedings"&gt;10&lt;/ref-type&gt;&lt;contributors&gt;&lt;authors&gt;&lt;author&gt;Tanzil, D&lt;/author&gt;&lt;author&gt;Ma, Gang&lt;/author&gt;&lt;author&gt;Beloff, B&lt;/author&gt;&lt;/authors&gt;&lt;/contributors&gt;&lt;titles&gt;&lt;title&gt;Sustainability metrics&lt;/title&gt;&lt;secondary-title&gt;Innovating for Sustainability,” the 11th International Conference of Greening of Industry Network, San Francisco&lt;/secondary-title&gt;&lt;/titles&gt;&lt;pages&gt;12-15&lt;/pages&gt;&lt;dates&gt;&lt;year&gt;2003&lt;/year&gt;&lt;/dates&gt;&lt;urls&gt;&lt;/urls&gt;&lt;/record&gt;&lt;/Cite&gt;&lt;/EndNote&gt;</w:instrText>
      </w:r>
      <w:r w:rsidRPr="007F1733">
        <w:rPr>
          <w:rFonts w:cs="Times New Roman"/>
          <w:lang w:val="en-GB"/>
        </w:rPr>
        <w:fldChar w:fldCharType="separate"/>
      </w:r>
      <w:r w:rsidRPr="007F1733">
        <w:rPr>
          <w:rFonts w:cs="Times New Roman"/>
          <w:noProof/>
          <w:lang w:val="en-GB"/>
        </w:rPr>
        <w:t>(</w:t>
      </w:r>
      <w:hyperlink w:anchor="_ENREF_40" w:tooltip="Tanzil, 2003 #6" w:history="1">
        <w:r w:rsidRPr="007F1733">
          <w:rPr>
            <w:rFonts w:cs="Times New Roman"/>
            <w:noProof/>
            <w:lang w:val="en-GB"/>
          </w:rPr>
          <w:t>Tanzil et al., 2003</w:t>
        </w:r>
      </w:hyperlink>
      <w:r w:rsidRPr="007F1733">
        <w:rPr>
          <w:rFonts w:cs="Times New Roman"/>
          <w:noProof/>
          <w:lang w:val="en-GB"/>
        </w:rPr>
        <w:t>)</w:t>
      </w:r>
      <w:r w:rsidRPr="007F1733">
        <w:rPr>
          <w:rFonts w:cs="Times New Roman"/>
          <w:lang w:val="en-GB"/>
        </w:rPr>
        <w:fldChar w:fldCharType="end"/>
      </w:r>
    </w:p>
    <w:tbl>
      <w:tblPr>
        <w:tblStyle w:val="LightShading1"/>
        <w:tblW w:w="0" w:type="auto"/>
        <w:tblLayout w:type="fixed"/>
        <w:tblLook w:val="0620" w:firstRow="1" w:lastRow="0" w:firstColumn="0" w:lastColumn="0" w:noHBand="1" w:noVBand="1"/>
      </w:tblPr>
      <w:tblGrid>
        <w:gridCol w:w="4096"/>
        <w:gridCol w:w="4911"/>
      </w:tblGrid>
      <w:tr w:rsidR="0050285D" w:rsidRPr="00CA5ED1" w:rsidTr="00B11CCE">
        <w:trPr>
          <w:cnfStyle w:val="100000000000" w:firstRow="1" w:lastRow="0" w:firstColumn="0" w:lastColumn="0" w:oddVBand="0" w:evenVBand="0" w:oddHBand="0" w:evenHBand="0" w:firstRowFirstColumn="0" w:firstRowLastColumn="0" w:lastRowFirstColumn="0" w:lastRowLastColumn="0"/>
          <w:trHeight w:val="20"/>
        </w:trPr>
        <w:tc>
          <w:tcPr>
            <w:tcW w:w="4096" w:type="dxa"/>
          </w:tcPr>
          <w:p w:rsidR="0050285D" w:rsidRPr="00CA5ED1" w:rsidRDefault="0050285D" w:rsidP="00B11CCE">
            <w:pPr>
              <w:autoSpaceDE w:val="0"/>
              <w:autoSpaceDN w:val="0"/>
              <w:adjustRightInd w:val="0"/>
              <w:spacing w:line="23" w:lineRule="atLeast"/>
              <w:rPr>
                <w:rFonts w:cs="Times New Roman"/>
                <w:bCs w:val="0"/>
                <w:color w:val="000000"/>
              </w:rPr>
            </w:pPr>
            <w:r w:rsidRPr="00CA5ED1">
              <w:rPr>
                <w:rFonts w:cs="Times New Roman"/>
                <w:bCs w:val="0"/>
                <w:color w:val="000000"/>
              </w:rPr>
              <w:t>Indicator</w:t>
            </w:r>
          </w:p>
        </w:tc>
        <w:tc>
          <w:tcPr>
            <w:tcW w:w="4911" w:type="dxa"/>
          </w:tcPr>
          <w:p w:rsidR="0050285D" w:rsidRPr="00CA5ED1" w:rsidRDefault="0050285D" w:rsidP="00B11CCE">
            <w:pPr>
              <w:autoSpaceDE w:val="0"/>
              <w:autoSpaceDN w:val="0"/>
              <w:adjustRightInd w:val="0"/>
              <w:spacing w:line="23" w:lineRule="atLeast"/>
              <w:rPr>
                <w:rFonts w:cs="Times New Roman"/>
                <w:color w:val="000000"/>
              </w:rPr>
            </w:pPr>
            <w:r w:rsidRPr="00CA5ED1">
              <w:rPr>
                <w:rFonts w:cs="Times New Roman"/>
                <w:color w:val="000000"/>
              </w:rPr>
              <w:t>Metric for measuring the indicator</w:t>
            </w:r>
          </w:p>
        </w:tc>
      </w:tr>
      <w:tr w:rsidR="007F1733" w:rsidRPr="007F1733" w:rsidTr="00B11CCE">
        <w:trPr>
          <w:trHeight w:val="20"/>
        </w:trPr>
        <w:tc>
          <w:tcPr>
            <w:tcW w:w="4096" w:type="dxa"/>
            <w:tcBorders>
              <w:top w:val="single" w:sz="8" w:space="0" w:color="000000" w:themeColor="text1"/>
              <w:bottom w:val="dotted" w:sz="4" w:space="0" w:color="auto"/>
            </w:tcBorders>
          </w:tcPr>
          <w:p w:rsidR="007F1733" w:rsidRPr="007F1733" w:rsidRDefault="007F1733" w:rsidP="00B11CCE">
            <w:pPr>
              <w:autoSpaceDE w:val="0"/>
              <w:autoSpaceDN w:val="0"/>
              <w:adjustRightInd w:val="0"/>
              <w:spacing w:line="23" w:lineRule="atLeast"/>
              <w:rPr>
                <w:rFonts w:cs="Times New Roman"/>
                <w:color w:val="000000"/>
              </w:rPr>
            </w:pPr>
            <w:r w:rsidRPr="007F1733">
              <w:rPr>
                <w:rFonts w:cs="Times New Roman"/>
                <w:b/>
                <w:bCs/>
                <w:color w:val="000000"/>
              </w:rPr>
              <w:t xml:space="preserve">Material </w:t>
            </w:r>
          </w:p>
          <w:p w:rsidR="00A36A80" w:rsidRDefault="00A36A80" w:rsidP="00B11CCE">
            <w:pPr>
              <w:autoSpaceDE w:val="0"/>
              <w:autoSpaceDN w:val="0"/>
              <w:adjustRightInd w:val="0"/>
              <w:spacing w:line="23" w:lineRule="atLeast"/>
              <w:outlineLvl w:val="2"/>
              <w:rPr>
                <w:rFonts w:cs="Times New Roman"/>
                <w:b/>
                <w:bCs/>
                <w:color w:val="000000"/>
              </w:rPr>
            </w:pPr>
          </w:p>
          <w:p w:rsidR="00A36A80" w:rsidRDefault="00A36A80" w:rsidP="00B11CCE">
            <w:pPr>
              <w:autoSpaceDE w:val="0"/>
              <w:autoSpaceDN w:val="0"/>
              <w:adjustRightInd w:val="0"/>
              <w:spacing w:line="23" w:lineRule="atLeast"/>
              <w:outlineLvl w:val="2"/>
              <w:rPr>
                <w:rFonts w:cs="Times New Roman"/>
                <w:b/>
                <w:bCs/>
                <w:color w:val="000000"/>
              </w:rPr>
            </w:pPr>
          </w:p>
          <w:p w:rsidR="007F1733" w:rsidRPr="007F1733" w:rsidRDefault="007F1733" w:rsidP="00B11CCE">
            <w:pPr>
              <w:autoSpaceDE w:val="0"/>
              <w:autoSpaceDN w:val="0"/>
              <w:adjustRightInd w:val="0"/>
              <w:spacing w:line="23" w:lineRule="atLeast"/>
              <w:rPr>
                <w:rFonts w:cs="Times New Roman"/>
                <w:color w:val="000000"/>
              </w:rPr>
            </w:pPr>
          </w:p>
        </w:tc>
        <w:tc>
          <w:tcPr>
            <w:tcW w:w="4911" w:type="dxa"/>
            <w:tcBorders>
              <w:top w:val="single" w:sz="8" w:space="0" w:color="000000" w:themeColor="text1"/>
              <w:bottom w:val="dotted" w:sz="4" w:space="0" w:color="auto"/>
            </w:tcBorders>
          </w:tcPr>
          <w:p w:rsidR="00A36A80" w:rsidRPr="007F1733" w:rsidRDefault="00A36A80" w:rsidP="00B11CCE">
            <w:pPr>
              <w:autoSpaceDE w:val="0"/>
              <w:autoSpaceDN w:val="0"/>
              <w:adjustRightInd w:val="0"/>
              <w:spacing w:line="23" w:lineRule="atLeast"/>
              <w:rPr>
                <w:rFonts w:cs="Times New Roman"/>
                <w:color w:val="000000"/>
              </w:rPr>
            </w:pPr>
            <w:r w:rsidRPr="007F1733">
              <w:rPr>
                <w:rFonts w:cs="Times New Roman"/>
                <w:color w:val="000000"/>
              </w:rPr>
              <w:t xml:space="preserve">Packaging materials </w:t>
            </w:r>
          </w:p>
          <w:p w:rsidR="00A36A80" w:rsidRPr="007F1733" w:rsidRDefault="00A36A80" w:rsidP="00B11CCE">
            <w:pPr>
              <w:autoSpaceDE w:val="0"/>
              <w:autoSpaceDN w:val="0"/>
              <w:adjustRightInd w:val="0"/>
              <w:spacing w:line="23" w:lineRule="atLeast"/>
              <w:rPr>
                <w:rFonts w:cs="Times New Roman"/>
                <w:color w:val="000000"/>
              </w:rPr>
            </w:pPr>
            <w:r w:rsidRPr="007F1733">
              <w:rPr>
                <w:rFonts w:cs="Times New Roman"/>
                <w:color w:val="000000"/>
              </w:rPr>
              <w:t xml:space="preserve">Non-renewable materials </w:t>
            </w:r>
          </w:p>
          <w:p w:rsidR="00A36A80" w:rsidRPr="007F1733" w:rsidRDefault="00A36A80" w:rsidP="00B11CCE">
            <w:pPr>
              <w:autoSpaceDE w:val="0"/>
              <w:autoSpaceDN w:val="0"/>
              <w:adjustRightInd w:val="0"/>
              <w:spacing w:line="23" w:lineRule="atLeast"/>
              <w:rPr>
                <w:rFonts w:cs="Times New Roman"/>
                <w:color w:val="000000"/>
              </w:rPr>
            </w:pPr>
            <w:r w:rsidRPr="007F1733">
              <w:rPr>
                <w:rFonts w:cs="Times New Roman"/>
                <w:color w:val="000000"/>
              </w:rPr>
              <w:t xml:space="preserve">Toxics in product </w:t>
            </w:r>
          </w:p>
          <w:p w:rsidR="007F1733" w:rsidRPr="007F1733" w:rsidRDefault="00A36A80" w:rsidP="00B11CCE">
            <w:pPr>
              <w:autoSpaceDE w:val="0"/>
              <w:autoSpaceDN w:val="0"/>
              <w:adjustRightInd w:val="0"/>
              <w:spacing w:line="23" w:lineRule="atLeast"/>
              <w:rPr>
                <w:rFonts w:cs="Times New Roman"/>
                <w:color w:val="000000"/>
              </w:rPr>
            </w:pPr>
            <w:r w:rsidRPr="007F1733">
              <w:rPr>
                <w:rFonts w:cs="Times New Roman"/>
                <w:color w:val="000000"/>
              </w:rPr>
              <w:t xml:space="preserve">Toxics in raw materials </w:t>
            </w:r>
          </w:p>
        </w:tc>
      </w:tr>
      <w:tr w:rsidR="00A36A80" w:rsidRPr="007F1733" w:rsidTr="00B11CCE">
        <w:trPr>
          <w:trHeight w:val="20"/>
        </w:trPr>
        <w:tc>
          <w:tcPr>
            <w:tcW w:w="4096" w:type="dxa"/>
            <w:tcBorders>
              <w:top w:val="dotted" w:sz="4" w:space="0" w:color="auto"/>
              <w:bottom w:val="dotted" w:sz="4" w:space="0" w:color="auto"/>
            </w:tcBorders>
          </w:tcPr>
          <w:p w:rsidR="00A36A80" w:rsidRPr="00B11CCE" w:rsidRDefault="00B11CCE" w:rsidP="00B11CCE">
            <w:pPr>
              <w:autoSpaceDE w:val="0"/>
              <w:autoSpaceDN w:val="0"/>
              <w:adjustRightInd w:val="0"/>
              <w:spacing w:line="23" w:lineRule="atLeast"/>
              <w:outlineLvl w:val="2"/>
              <w:rPr>
                <w:rFonts w:cs="Times New Roman"/>
                <w:color w:val="000000"/>
              </w:rPr>
            </w:pPr>
            <w:r>
              <w:rPr>
                <w:rFonts w:cs="Times New Roman"/>
                <w:b/>
                <w:bCs/>
                <w:color w:val="000000"/>
              </w:rPr>
              <w:t>Water</w:t>
            </w:r>
          </w:p>
        </w:tc>
        <w:tc>
          <w:tcPr>
            <w:tcW w:w="4911" w:type="dxa"/>
            <w:tcBorders>
              <w:top w:val="dotted" w:sz="4" w:space="0" w:color="auto"/>
              <w:bottom w:val="dotted" w:sz="4" w:space="0" w:color="auto"/>
            </w:tcBorders>
          </w:tcPr>
          <w:p w:rsidR="00A36A80" w:rsidRPr="007F1733" w:rsidRDefault="00A36A80" w:rsidP="00B11CCE">
            <w:pPr>
              <w:autoSpaceDE w:val="0"/>
              <w:autoSpaceDN w:val="0"/>
              <w:adjustRightInd w:val="0"/>
              <w:spacing w:line="23" w:lineRule="atLeast"/>
              <w:rPr>
                <w:rFonts w:cs="Times New Roman"/>
                <w:color w:val="000000"/>
              </w:rPr>
            </w:pPr>
            <w:r w:rsidRPr="007F1733">
              <w:rPr>
                <w:rFonts w:cs="Times New Roman"/>
                <w:color w:val="000000"/>
              </w:rPr>
              <w:t xml:space="preserve">Rainwater sent to treatment </w:t>
            </w:r>
          </w:p>
          <w:p w:rsidR="00A36A80" w:rsidRPr="007F1733" w:rsidRDefault="00A36A80" w:rsidP="00B11CCE">
            <w:pPr>
              <w:autoSpaceDE w:val="0"/>
              <w:autoSpaceDN w:val="0"/>
              <w:adjustRightInd w:val="0"/>
              <w:spacing w:line="23" w:lineRule="atLeast"/>
              <w:rPr>
                <w:rFonts w:cs="Times New Roman"/>
                <w:color w:val="000000"/>
              </w:rPr>
            </w:pPr>
            <w:r w:rsidRPr="007F1733">
              <w:rPr>
                <w:rFonts w:cs="Times New Roman"/>
                <w:color w:val="000000"/>
              </w:rPr>
              <w:t xml:space="preserve">Water from endangered ecosystem sources </w:t>
            </w:r>
          </w:p>
          <w:p w:rsidR="00A36A80" w:rsidRPr="007F1733" w:rsidRDefault="00A36A80" w:rsidP="00B11CCE">
            <w:pPr>
              <w:autoSpaceDE w:val="0"/>
              <w:autoSpaceDN w:val="0"/>
              <w:adjustRightInd w:val="0"/>
              <w:spacing w:line="23" w:lineRule="atLeast"/>
              <w:rPr>
                <w:rFonts w:cs="Times New Roman"/>
                <w:color w:val="000000"/>
              </w:rPr>
            </w:pPr>
            <w:r w:rsidRPr="007F1733">
              <w:rPr>
                <w:rFonts w:cs="Times New Roman"/>
                <w:color w:val="000000"/>
              </w:rPr>
              <w:t xml:space="preserve">Water use relative to water availability </w:t>
            </w:r>
          </w:p>
        </w:tc>
      </w:tr>
      <w:tr w:rsidR="00A36A80" w:rsidRPr="007F1733" w:rsidTr="00B11CCE">
        <w:trPr>
          <w:trHeight w:val="20"/>
        </w:trPr>
        <w:tc>
          <w:tcPr>
            <w:tcW w:w="4096" w:type="dxa"/>
            <w:tcBorders>
              <w:top w:val="dotted" w:sz="4" w:space="0" w:color="auto"/>
              <w:bottom w:val="dotted" w:sz="4" w:space="0" w:color="auto"/>
            </w:tcBorders>
          </w:tcPr>
          <w:p w:rsidR="00A36A80" w:rsidRPr="00B11CCE" w:rsidRDefault="00A36A80" w:rsidP="00B11CCE">
            <w:pPr>
              <w:autoSpaceDE w:val="0"/>
              <w:autoSpaceDN w:val="0"/>
              <w:adjustRightInd w:val="0"/>
              <w:spacing w:line="23" w:lineRule="atLeast"/>
              <w:rPr>
                <w:rFonts w:cs="Times New Roman"/>
                <w:color w:val="000000"/>
              </w:rPr>
            </w:pPr>
            <w:r w:rsidRPr="007F1733">
              <w:rPr>
                <w:rFonts w:cs="Times New Roman"/>
                <w:b/>
                <w:bCs/>
                <w:color w:val="000000"/>
              </w:rPr>
              <w:t xml:space="preserve">Energy </w:t>
            </w:r>
          </w:p>
        </w:tc>
        <w:tc>
          <w:tcPr>
            <w:tcW w:w="4911" w:type="dxa"/>
            <w:tcBorders>
              <w:top w:val="dotted" w:sz="4" w:space="0" w:color="auto"/>
              <w:bottom w:val="dotted" w:sz="4" w:space="0" w:color="auto"/>
            </w:tcBorders>
          </w:tcPr>
          <w:p w:rsidR="00A36A80" w:rsidRPr="007F1733" w:rsidRDefault="00A36A80" w:rsidP="00B11CCE">
            <w:pPr>
              <w:autoSpaceDE w:val="0"/>
              <w:autoSpaceDN w:val="0"/>
              <w:adjustRightInd w:val="0"/>
              <w:spacing w:line="23" w:lineRule="atLeast"/>
              <w:rPr>
                <w:rFonts w:cs="Times New Roman"/>
                <w:color w:val="000000"/>
              </w:rPr>
            </w:pPr>
            <w:r w:rsidRPr="007F1733">
              <w:rPr>
                <w:rFonts w:cs="Times New Roman"/>
                <w:color w:val="000000"/>
              </w:rPr>
              <w:t xml:space="preserve">Energy consumed in transportation </w:t>
            </w:r>
          </w:p>
          <w:p w:rsidR="00A36A80" w:rsidRPr="007F1733" w:rsidRDefault="00A36A80" w:rsidP="00B11CCE">
            <w:pPr>
              <w:autoSpaceDE w:val="0"/>
              <w:autoSpaceDN w:val="0"/>
              <w:adjustRightInd w:val="0"/>
              <w:spacing w:line="23" w:lineRule="atLeast"/>
              <w:rPr>
                <w:rFonts w:cs="Times New Roman"/>
                <w:color w:val="000000"/>
              </w:rPr>
            </w:pPr>
            <w:r w:rsidRPr="007F1733">
              <w:rPr>
                <w:rFonts w:cs="Times New Roman"/>
                <w:color w:val="000000"/>
              </w:rPr>
              <w:t xml:space="preserve">Non-renewable energy </w:t>
            </w:r>
          </w:p>
        </w:tc>
      </w:tr>
      <w:tr w:rsidR="00A36A80" w:rsidRPr="007F1733" w:rsidTr="00B11CCE">
        <w:trPr>
          <w:trHeight w:val="20"/>
        </w:trPr>
        <w:tc>
          <w:tcPr>
            <w:tcW w:w="4096" w:type="dxa"/>
            <w:tcBorders>
              <w:top w:val="dotted" w:sz="4" w:space="0" w:color="auto"/>
              <w:bottom w:val="dotted" w:sz="4" w:space="0" w:color="auto"/>
            </w:tcBorders>
          </w:tcPr>
          <w:p w:rsidR="00A36A80" w:rsidRPr="00B11CCE" w:rsidRDefault="00A36A80" w:rsidP="00B11CCE">
            <w:pPr>
              <w:autoSpaceDE w:val="0"/>
              <w:autoSpaceDN w:val="0"/>
              <w:adjustRightInd w:val="0"/>
              <w:spacing w:line="23" w:lineRule="atLeast"/>
              <w:outlineLvl w:val="2"/>
              <w:rPr>
                <w:rFonts w:cs="Times New Roman"/>
                <w:color w:val="000000"/>
              </w:rPr>
            </w:pPr>
            <w:r w:rsidRPr="007F1733">
              <w:rPr>
                <w:rFonts w:cs="Times New Roman"/>
                <w:b/>
                <w:bCs/>
                <w:color w:val="000000"/>
              </w:rPr>
              <w:t xml:space="preserve">Solid waste </w:t>
            </w:r>
          </w:p>
        </w:tc>
        <w:tc>
          <w:tcPr>
            <w:tcW w:w="4911" w:type="dxa"/>
            <w:tcBorders>
              <w:top w:val="dotted" w:sz="4" w:space="0" w:color="auto"/>
              <w:bottom w:val="dotted" w:sz="4" w:space="0" w:color="auto"/>
            </w:tcBorders>
          </w:tcPr>
          <w:p w:rsidR="00A36A80" w:rsidRPr="007F1733" w:rsidRDefault="00A36A80" w:rsidP="00B11CCE">
            <w:pPr>
              <w:autoSpaceDE w:val="0"/>
              <w:autoSpaceDN w:val="0"/>
              <w:adjustRightInd w:val="0"/>
              <w:spacing w:line="23" w:lineRule="atLeast"/>
              <w:rPr>
                <w:rFonts w:cs="Times New Roman"/>
                <w:color w:val="000000"/>
              </w:rPr>
            </w:pPr>
            <w:r w:rsidRPr="007F1733">
              <w:rPr>
                <w:rFonts w:cs="Times New Roman"/>
                <w:color w:val="000000"/>
              </w:rPr>
              <w:t xml:space="preserve">Solid waste disposed relative to landfilling capacity </w:t>
            </w:r>
          </w:p>
        </w:tc>
      </w:tr>
      <w:tr w:rsidR="00A36A80" w:rsidRPr="007F1733" w:rsidTr="00B11CCE">
        <w:trPr>
          <w:trHeight w:val="20"/>
        </w:trPr>
        <w:tc>
          <w:tcPr>
            <w:tcW w:w="4096" w:type="dxa"/>
            <w:tcBorders>
              <w:top w:val="dotted" w:sz="4" w:space="0" w:color="auto"/>
              <w:bottom w:val="dotted" w:sz="4" w:space="0" w:color="auto"/>
            </w:tcBorders>
          </w:tcPr>
          <w:p w:rsidR="0050285D" w:rsidRPr="007F1733" w:rsidRDefault="0050285D" w:rsidP="00B11CCE">
            <w:pPr>
              <w:autoSpaceDE w:val="0"/>
              <w:autoSpaceDN w:val="0"/>
              <w:adjustRightInd w:val="0"/>
              <w:spacing w:line="23" w:lineRule="atLeast"/>
              <w:outlineLvl w:val="2"/>
              <w:rPr>
                <w:rFonts w:cs="Times New Roman"/>
                <w:color w:val="000000"/>
              </w:rPr>
            </w:pPr>
            <w:r w:rsidRPr="007F1733">
              <w:rPr>
                <w:rFonts w:cs="Times New Roman"/>
                <w:b/>
                <w:bCs/>
                <w:color w:val="000000"/>
              </w:rPr>
              <w:t xml:space="preserve">Toxic release </w:t>
            </w:r>
          </w:p>
          <w:p w:rsidR="00A36A80" w:rsidRPr="007F1733" w:rsidRDefault="00A36A80" w:rsidP="00B11CCE">
            <w:pPr>
              <w:autoSpaceDE w:val="0"/>
              <w:autoSpaceDN w:val="0"/>
              <w:adjustRightInd w:val="0"/>
              <w:spacing w:line="23" w:lineRule="atLeast"/>
              <w:rPr>
                <w:rFonts w:cs="Times New Roman"/>
                <w:b/>
                <w:bCs/>
                <w:color w:val="000000"/>
              </w:rPr>
            </w:pPr>
          </w:p>
        </w:tc>
        <w:tc>
          <w:tcPr>
            <w:tcW w:w="4911" w:type="dxa"/>
            <w:tcBorders>
              <w:top w:val="dotted" w:sz="4" w:space="0" w:color="auto"/>
              <w:bottom w:val="dotted" w:sz="4" w:space="0" w:color="auto"/>
            </w:tcBorders>
          </w:tcPr>
          <w:p w:rsidR="00A36A80" w:rsidRPr="007F1733" w:rsidRDefault="00A36A80" w:rsidP="00B11CCE">
            <w:pPr>
              <w:autoSpaceDE w:val="0"/>
              <w:autoSpaceDN w:val="0"/>
              <w:adjustRightInd w:val="0"/>
              <w:spacing w:line="23" w:lineRule="atLeast"/>
              <w:rPr>
                <w:rFonts w:cs="Times New Roman"/>
                <w:color w:val="000000"/>
              </w:rPr>
            </w:pPr>
            <w:r w:rsidRPr="007F1733">
              <w:rPr>
                <w:rFonts w:cs="Times New Roman"/>
                <w:color w:val="000000"/>
              </w:rPr>
              <w:t xml:space="preserve">Toxic release under each TRI category </w:t>
            </w:r>
          </w:p>
          <w:p w:rsidR="00A36A80" w:rsidRPr="007F1733" w:rsidRDefault="00A36A80" w:rsidP="00B11CCE">
            <w:pPr>
              <w:autoSpaceDE w:val="0"/>
              <w:autoSpaceDN w:val="0"/>
              <w:adjustRightInd w:val="0"/>
              <w:spacing w:line="23" w:lineRule="atLeast"/>
              <w:rPr>
                <w:rFonts w:cs="Times New Roman"/>
                <w:color w:val="000000"/>
              </w:rPr>
            </w:pPr>
            <w:r w:rsidRPr="007F1733">
              <w:rPr>
                <w:rFonts w:cs="Times New Roman"/>
                <w:color w:val="000000"/>
              </w:rPr>
              <w:t xml:space="preserve">Human toxicity (carcinogenic) </w:t>
            </w:r>
          </w:p>
          <w:p w:rsidR="00A36A80" w:rsidRPr="007F1733" w:rsidRDefault="00A36A80" w:rsidP="00B11CCE">
            <w:pPr>
              <w:autoSpaceDE w:val="0"/>
              <w:autoSpaceDN w:val="0"/>
              <w:adjustRightInd w:val="0"/>
              <w:spacing w:line="23" w:lineRule="atLeast"/>
              <w:rPr>
                <w:rFonts w:cs="Times New Roman"/>
                <w:color w:val="000000"/>
              </w:rPr>
            </w:pPr>
            <w:r w:rsidRPr="007F1733">
              <w:rPr>
                <w:rFonts w:cs="Times New Roman"/>
                <w:color w:val="000000"/>
              </w:rPr>
              <w:t xml:space="preserve">Human toxicity (non-carcinogenic) </w:t>
            </w:r>
          </w:p>
          <w:p w:rsidR="00A36A80" w:rsidRPr="007F1733" w:rsidRDefault="00B11CCE" w:rsidP="00B11CCE">
            <w:pPr>
              <w:autoSpaceDE w:val="0"/>
              <w:autoSpaceDN w:val="0"/>
              <w:adjustRightInd w:val="0"/>
              <w:spacing w:line="23" w:lineRule="atLeast"/>
              <w:rPr>
                <w:rFonts w:cs="Times New Roman"/>
                <w:color w:val="000000"/>
              </w:rPr>
            </w:pPr>
            <w:r>
              <w:rPr>
                <w:rFonts w:cs="Times New Roman"/>
                <w:color w:val="000000"/>
              </w:rPr>
              <w:t>Ecosystem toxicity</w:t>
            </w:r>
          </w:p>
        </w:tc>
      </w:tr>
      <w:tr w:rsidR="00A36A80" w:rsidRPr="007F1733" w:rsidTr="00B11CCE">
        <w:trPr>
          <w:trHeight w:val="20"/>
        </w:trPr>
        <w:tc>
          <w:tcPr>
            <w:tcW w:w="4096" w:type="dxa"/>
            <w:tcBorders>
              <w:top w:val="dotted" w:sz="4" w:space="0" w:color="auto"/>
              <w:bottom w:val="single" w:sz="8" w:space="0" w:color="000000" w:themeColor="text1"/>
            </w:tcBorders>
          </w:tcPr>
          <w:p w:rsidR="00A36A80" w:rsidRPr="007F1733" w:rsidRDefault="0050285D" w:rsidP="00B11CCE">
            <w:pPr>
              <w:autoSpaceDE w:val="0"/>
              <w:autoSpaceDN w:val="0"/>
              <w:adjustRightInd w:val="0"/>
              <w:spacing w:line="23" w:lineRule="atLeast"/>
              <w:rPr>
                <w:rFonts w:cs="Times New Roman"/>
                <w:b/>
                <w:bCs/>
                <w:color w:val="000000"/>
              </w:rPr>
            </w:pPr>
            <w:r w:rsidRPr="007F1733">
              <w:rPr>
                <w:rFonts w:cs="Times New Roman"/>
                <w:b/>
                <w:bCs/>
                <w:color w:val="000000"/>
              </w:rPr>
              <w:t>Pollutant effects</w:t>
            </w:r>
          </w:p>
        </w:tc>
        <w:tc>
          <w:tcPr>
            <w:tcW w:w="4911" w:type="dxa"/>
            <w:tcBorders>
              <w:top w:val="dotted" w:sz="4" w:space="0" w:color="auto"/>
              <w:bottom w:val="single" w:sz="8" w:space="0" w:color="000000" w:themeColor="text1"/>
            </w:tcBorders>
          </w:tcPr>
          <w:p w:rsidR="00A36A80" w:rsidRPr="007F1733" w:rsidRDefault="00A36A80" w:rsidP="00B11CCE">
            <w:pPr>
              <w:autoSpaceDE w:val="0"/>
              <w:autoSpaceDN w:val="0"/>
              <w:adjustRightInd w:val="0"/>
              <w:spacing w:line="23" w:lineRule="atLeast"/>
              <w:rPr>
                <w:rFonts w:cs="Times New Roman"/>
                <w:color w:val="000000"/>
              </w:rPr>
            </w:pPr>
            <w:r w:rsidRPr="007F1733">
              <w:rPr>
                <w:rFonts w:cs="Times New Roman"/>
                <w:color w:val="000000"/>
              </w:rPr>
              <w:t xml:space="preserve">Global warming potential </w:t>
            </w:r>
          </w:p>
          <w:p w:rsidR="00A36A80" w:rsidRPr="007F1733" w:rsidRDefault="00A36A80" w:rsidP="00B11CCE">
            <w:pPr>
              <w:autoSpaceDE w:val="0"/>
              <w:autoSpaceDN w:val="0"/>
              <w:adjustRightInd w:val="0"/>
              <w:spacing w:line="23" w:lineRule="atLeast"/>
              <w:rPr>
                <w:rFonts w:cs="Times New Roman"/>
                <w:color w:val="000000"/>
              </w:rPr>
            </w:pPr>
            <w:r w:rsidRPr="007F1733">
              <w:rPr>
                <w:rFonts w:cs="Times New Roman"/>
                <w:color w:val="000000"/>
              </w:rPr>
              <w:t xml:space="preserve">Tropospheric ozone depletion potential </w:t>
            </w:r>
          </w:p>
          <w:p w:rsidR="00A36A80" w:rsidRPr="007F1733" w:rsidRDefault="00A36A80" w:rsidP="00B11CCE">
            <w:pPr>
              <w:autoSpaceDE w:val="0"/>
              <w:autoSpaceDN w:val="0"/>
              <w:adjustRightInd w:val="0"/>
              <w:spacing w:line="23" w:lineRule="atLeast"/>
              <w:rPr>
                <w:rFonts w:cs="Times New Roman"/>
                <w:color w:val="000000"/>
              </w:rPr>
            </w:pPr>
            <w:r w:rsidRPr="007F1733">
              <w:rPr>
                <w:rFonts w:cs="Times New Roman"/>
                <w:color w:val="000000"/>
              </w:rPr>
              <w:t xml:space="preserve">Photochemical ozone creation potential </w:t>
            </w:r>
          </w:p>
          <w:p w:rsidR="00A36A80" w:rsidRPr="007F1733" w:rsidRDefault="00A36A80" w:rsidP="00B11CCE">
            <w:pPr>
              <w:autoSpaceDE w:val="0"/>
              <w:autoSpaceDN w:val="0"/>
              <w:adjustRightInd w:val="0"/>
              <w:spacing w:line="23" w:lineRule="atLeast"/>
              <w:rPr>
                <w:rFonts w:cs="Times New Roman"/>
                <w:color w:val="000000"/>
              </w:rPr>
            </w:pPr>
            <w:r w:rsidRPr="007F1733">
              <w:rPr>
                <w:rFonts w:cs="Times New Roman"/>
                <w:color w:val="000000"/>
              </w:rPr>
              <w:t xml:space="preserve">Air acidification potential </w:t>
            </w:r>
          </w:p>
          <w:p w:rsidR="00A36A80" w:rsidRPr="007F1733" w:rsidRDefault="00A36A80" w:rsidP="00B11CCE">
            <w:pPr>
              <w:autoSpaceDE w:val="0"/>
              <w:autoSpaceDN w:val="0"/>
              <w:adjustRightInd w:val="0"/>
              <w:spacing w:line="23" w:lineRule="atLeast"/>
              <w:rPr>
                <w:rFonts w:cs="Times New Roman"/>
                <w:b/>
                <w:bCs/>
                <w:color w:val="000000"/>
              </w:rPr>
            </w:pPr>
            <w:r w:rsidRPr="007F1733">
              <w:rPr>
                <w:rFonts w:cs="Times New Roman"/>
                <w:color w:val="000000"/>
              </w:rPr>
              <w:t xml:space="preserve">Eutrophication potential </w:t>
            </w:r>
          </w:p>
        </w:tc>
      </w:tr>
    </w:tbl>
    <w:p w:rsidR="001D506B" w:rsidRDefault="001D506B" w:rsidP="00B11CCE">
      <w:pPr>
        <w:spacing w:line="23" w:lineRule="atLeast"/>
        <w:jc w:val="both"/>
        <w:rPr>
          <w:rFonts w:cs="Times New Roman"/>
          <w:lang w:val="en-GB"/>
        </w:rPr>
      </w:pPr>
    </w:p>
    <w:p w:rsidR="00A36A80" w:rsidRPr="00A36A80" w:rsidRDefault="00A36A80" w:rsidP="00B11CCE">
      <w:pPr>
        <w:spacing w:line="23" w:lineRule="atLeast"/>
        <w:jc w:val="both"/>
        <w:rPr>
          <w:rFonts w:cs="Times New Roman"/>
          <w:b/>
          <w:bCs/>
          <w:i/>
          <w:lang w:val="en-GB"/>
        </w:rPr>
      </w:pPr>
      <w:r w:rsidRPr="00A36A80">
        <w:rPr>
          <w:rFonts w:cs="Times New Roman"/>
          <w:b/>
          <w:bCs/>
          <w:i/>
          <w:lang w:val="en-GB"/>
        </w:rPr>
        <w:t>Institute for Chemical Engineers:  IChemE Sustainable Development Process Metrics</w:t>
      </w:r>
    </w:p>
    <w:p w:rsidR="007F1733" w:rsidRDefault="007F1733" w:rsidP="00B11CCE">
      <w:pPr>
        <w:spacing w:line="23" w:lineRule="atLeast"/>
        <w:jc w:val="both"/>
        <w:rPr>
          <w:rFonts w:cs="Times New Roman"/>
          <w:bCs/>
          <w:lang w:val="en-GB"/>
        </w:rPr>
      </w:pPr>
      <w:r w:rsidRPr="007F1733">
        <w:rPr>
          <w:rFonts w:cs="Times New Roman"/>
          <w:bCs/>
          <w:lang w:val="en-GB"/>
        </w:rPr>
        <w:t>The Institution of Chemical Engineers (IChemE) compiled a list of sustainable development process metrics for use by companies to report on their advancement towards sustainability</w:t>
      </w:r>
      <w:r w:rsidR="006608F3">
        <w:rPr>
          <w:rFonts w:cs="Times New Roman"/>
          <w:bCs/>
          <w:lang w:val="en-GB"/>
        </w:rPr>
        <w:t xml:space="preserve"> </w:t>
      </w:r>
      <w:r w:rsidR="006608F3" w:rsidRPr="006608F3">
        <w:rPr>
          <w:rFonts w:cs="Times New Roman"/>
          <w:bCs/>
          <w:lang w:val="en-GB"/>
        </w:rPr>
        <w:t>(IChemE, 2014)</w:t>
      </w:r>
      <w:r w:rsidRPr="007F1733">
        <w:rPr>
          <w:rFonts w:cs="Times New Roman"/>
          <w:bCs/>
          <w:lang w:val="en-GB"/>
        </w:rPr>
        <w:t xml:space="preserve">.  These metrics allow for the comparison of different options within a company, or compare between companies. This method was developed both for assessing sustainability of corporations and individual technologies, but it is important that even for small operating units the wider implications and impacts are considered through this method. The metrics for the sustainable development include environmental, economic and social indicators, as shown in Table </w:t>
      </w:r>
      <w:r w:rsidR="004A3301">
        <w:rPr>
          <w:rFonts w:cs="Times New Roman"/>
          <w:bCs/>
          <w:lang w:val="en-GB"/>
        </w:rPr>
        <w:t>3</w:t>
      </w:r>
      <w:r w:rsidR="00CD27F0">
        <w:rPr>
          <w:rFonts w:cs="Times New Roman"/>
          <w:bCs/>
          <w:lang w:val="en-GB"/>
        </w:rPr>
        <w:t>.</w:t>
      </w:r>
    </w:p>
    <w:p w:rsidR="007F1733" w:rsidRPr="007F1733" w:rsidRDefault="004A3301" w:rsidP="00B11CCE">
      <w:pPr>
        <w:spacing w:line="23" w:lineRule="atLeast"/>
        <w:jc w:val="both"/>
        <w:rPr>
          <w:rFonts w:cs="Times New Roman"/>
          <w:bCs/>
          <w:lang w:val="en-GB"/>
        </w:rPr>
      </w:pPr>
      <w:r>
        <w:rPr>
          <w:rFonts w:cs="Times New Roman"/>
          <w:bCs/>
          <w:lang w:val="en-GB"/>
        </w:rPr>
        <w:t xml:space="preserve">Table </w:t>
      </w:r>
      <w:r w:rsidR="007F1733" w:rsidRPr="007F1733">
        <w:rPr>
          <w:rFonts w:cs="Times New Roman"/>
          <w:bCs/>
          <w:lang w:val="en-GB"/>
        </w:rPr>
        <w:t xml:space="preserve">3.The </w:t>
      </w:r>
      <w:proofErr w:type="spellStart"/>
      <w:r w:rsidR="007F1733" w:rsidRPr="007F1733">
        <w:rPr>
          <w:rFonts w:cs="Times New Roman"/>
          <w:bCs/>
          <w:lang w:val="en-GB"/>
        </w:rPr>
        <w:t>IChemE</w:t>
      </w:r>
      <w:proofErr w:type="spellEnd"/>
      <w:r w:rsidR="007F1733" w:rsidRPr="007F1733">
        <w:rPr>
          <w:rFonts w:cs="Times New Roman"/>
          <w:bCs/>
          <w:lang w:val="en-GB"/>
        </w:rPr>
        <w:t xml:space="preserve"> Sustainable Development Process Metrics </w:t>
      </w:r>
      <w:r w:rsidR="006608F3" w:rsidRPr="006608F3">
        <w:rPr>
          <w:rFonts w:cs="Times New Roman"/>
          <w:bCs/>
          <w:lang w:val="en-GB"/>
        </w:rPr>
        <w:t>(IChemE, 2014)</w:t>
      </w:r>
    </w:p>
    <w:tbl>
      <w:tblPr>
        <w:tblStyle w:val="LightShading"/>
        <w:tblW w:w="9704" w:type="dxa"/>
        <w:tblBorders>
          <w:insideH w:val="dotted" w:sz="4" w:space="0" w:color="auto"/>
        </w:tblBorders>
        <w:tblLayout w:type="fixed"/>
        <w:tblLook w:val="06A0" w:firstRow="1" w:lastRow="0" w:firstColumn="1" w:lastColumn="0" w:noHBand="1" w:noVBand="1"/>
      </w:tblPr>
      <w:tblGrid>
        <w:gridCol w:w="1784"/>
        <w:gridCol w:w="2520"/>
        <w:gridCol w:w="5400"/>
      </w:tblGrid>
      <w:tr w:rsidR="007F1733" w:rsidRPr="007F1733" w:rsidTr="00A36A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4" w:type="dxa"/>
            <w:tcBorders>
              <w:left w:val="none" w:sz="0" w:space="0" w:color="auto"/>
              <w:right w:val="none" w:sz="0" w:space="0" w:color="auto"/>
            </w:tcBorders>
          </w:tcPr>
          <w:p w:rsidR="007F1733" w:rsidRPr="007F1733" w:rsidRDefault="007F1733" w:rsidP="00B11CCE">
            <w:pPr>
              <w:spacing w:line="23" w:lineRule="atLeast"/>
              <w:rPr>
                <w:rFonts w:cs="Times New Roman"/>
                <w:bCs w:val="0"/>
                <w:lang w:val="en-GB"/>
              </w:rPr>
            </w:pPr>
            <w:r w:rsidRPr="007F1733">
              <w:rPr>
                <w:rFonts w:cs="Times New Roman"/>
                <w:bCs w:val="0"/>
                <w:lang w:val="en-GB"/>
              </w:rPr>
              <w:t>Indicator Type</w:t>
            </w:r>
          </w:p>
        </w:tc>
        <w:tc>
          <w:tcPr>
            <w:tcW w:w="2520" w:type="dxa"/>
            <w:tcBorders>
              <w:left w:val="none" w:sz="0" w:space="0" w:color="auto"/>
              <w:right w:val="none" w:sz="0" w:space="0" w:color="auto"/>
            </w:tcBorders>
          </w:tcPr>
          <w:p w:rsidR="007F1733" w:rsidRPr="007F1733" w:rsidRDefault="007F1733" w:rsidP="00B11CCE">
            <w:pPr>
              <w:spacing w:line="23" w:lineRule="atLeast"/>
              <w:cnfStyle w:val="100000000000" w:firstRow="1" w:lastRow="0" w:firstColumn="0" w:lastColumn="0" w:oddVBand="0" w:evenVBand="0" w:oddHBand="0" w:evenHBand="0" w:firstRowFirstColumn="0" w:firstRowLastColumn="0" w:lastRowFirstColumn="0" w:lastRowLastColumn="0"/>
              <w:rPr>
                <w:rFonts w:cs="Times New Roman"/>
                <w:bCs w:val="0"/>
                <w:lang w:val="en-GB"/>
              </w:rPr>
            </w:pPr>
            <w:r w:rsidRPr="007F1733">
              <w:rPr>
                <w:rFonts w:cs="Times New Roman"/>
                <w:bCs w:val="0"/>
                <w:lang w:val="en-GB"/>
              </w:rPr>
              <w:t>Category</w:t>
            </w:r>
          </w:p>
        </w:tc>
        <w:tc>
          <w:tcPr>
            <w:tcW w:w="5400" w:type="dxa"/>
            <w:tcBorders>
              <w:left w:val="none" w:sz="0" w:space="0" w:color="auto"/>
              <w:right w:val="none" w:sz="0" w:space="0" w:color="auto"/>
            </w:tcBorders>
          </w:tcPr>
          <w:p w:rsidR="007F1733" w:rsidRPr="007F1733" w:rsidRDefault="007F1733" w:rsidP="00B11CCE">
            <w:pPr>
              <w:spacing w:line="23" w:lineRule="atLeast"/>
              <w:cnfStyle w:val="100000000000" w:firstRow="1" w:lastRow="0" w:firstColumn="0" w:lastColumn="0" w:oddVBand="0" w:evenVBand="0" w:oddHBand="0" w:evenHBand="0" w:firstRowFirstColumn="0" w:firstRowLastColumn="0" w:lastRowFirstColumn="0" w:lastRowLastColumn="0"/>
              <w:rPr>
                <w:rFonts w:cs="Times New Roman"/>
                <w:bCs w:val="0"/>
                <w:lang w:val="en-GB"/>
              </w:rPr>
            </w:pPr>
            <w:r w:rsidRPr="007F1733">
              <w:rPr>
                <w:rFonts w:cs="Times New Roman"/>
                <w:bCs w:val="0"/>
                <w:lang w:val="en-GB"/>
              </w:rPr>
              <w:t>Metrics</w:t>
            </w:r>
          </w:p>
        </w:tc>
      </w:tr>
      <w:tr w:rsidR="007F1733" w:rsidRPr="007F1733" w:rsidTr="00A36A80">
        <w:tc>
          <w:tcPr>
            <w:cnfStyle w:val="001000000000" w:firstRow="0" w:lastRow="0" w:firstColumn="1" w:lastColumn="0" w:oddVBand="0" w:evenVBand="0" w:oddHBand="0" w:evenHBand="0" w:firstRowFirstColumn="0" w:firstRowLastColumn="0" w:lastRowFirstColumn="0" w:lastRowLastColumn="0"/>
            <w:tcW w:w="1784" w:type="dxa"/>
            <w:vMerge w:val="restart"/>
            <w:tcBorders>
              <w:top w:val="single" w:sz="8" w:space="0" w:color="000000" w:themeColor="text1"/>
            </w:tcBorders>
          </w:tcPr>
          <w:p w:rsidR="007F1733" w:rsidRPr="007F1733" w:rsidRDefault="007F1733" w:rsidP="00B11CCE">
            <w:pPr>
              <w:pStyle w:val="ListParagraph"/>
              <w:spacing w:line="23" w:lineRule="atLeast"/>
              <w:ind w:left="0"/>
              <w:rPr>
                <w:rFonts w:cs="Times New Roman"/>
                <w:bCs w:val="0"/>
                <w:lang w:val="en-GB"/>
              </w:rPr>
            </w:pPr>
            <w:r w:rsidRPr="007F1733">
              <w:rPr>
                <w:rFonts w:cs="Times New Roman"/>
                <w:bCs w:val="0"/>
                <w:lang w:val="en-GB"/>
              </w:rPr>
              <w:t>Environmental indicators</w:t>
            </w:r>
          </w:p>
          <w:p w:rsidR="007F1733" w:rsidRPr="007F1733" w:rsidRDefault="007F1733" w:rsidP="00B11CCE">
            <w:pPr>
              <w:spacing w:line="23" w:lineRule="atLeast"/>
              <w:rPr>
                <w:rFonts w:cs="Times New Roman"/>
                <w:bCs w:val="0"/>
                <w:lang w:val="en-GB"/>
              </w:rPr>
            </w:pPr>
          </w:p>
        </w:tc>
        <w:tc>
          <w:tcPr>
            <w:tcW w:w="2520" w:type="dxa"/>
            <w:tcBorders>
              <w:top w:val="single" w:sz="8" w:space="0" w:color="000000" w:themeColor="text1"/>
            </w:tcBorders>
          </w:tcPr>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Resource usage</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lang w:val="en-GB"/>
              </w:rPr>
            </w:pPr>
          </w:p>
        </w:tc>
        <w:tc>
          <w:tcPr>
            <w:tcW w:w="5400" w:type="dxa"/>
            <w:tcBorders>
              <w:top w:val="single" w:sz="8" w:space="0" w:color="000000" w:themeColor="text1"/>
            </w:tcBorders>
          </w:tcPr>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Energy</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Material (excluding fuel and water)</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lang w:val="en-GB"/>
              </w:rPr>
            </w:pPr>
            <w:r w:rsidRPr="007F1733">
              <w:rPr>
                <w:rFonts w:cs="Times New Roman"/>
                <w:bCs/>
              </w:rPr>
              <w:t>Water</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lang w:val="en-GB"/>
              </w:rPr>
            </w:pPr>
            <w:r w:rsidRPr="007F1733">
              <w:rPr>
                <w:rFonts w:cs="Times New Roman"/>
                <w:bCs/>
              </w:rPr>
              <w:t>Land</w:t>
            </w:r>
          </w:p>
        </w:tc>
      </w:tr>
      <w:tr w:rsidR="007F1733" w:rsidRPr="007F1733" w:rsidTr="00877381">
        <w:tc>
          <w:tcPr>
            <w:cnfStyle w:val="001000000000" w:firstRow="0" w:lastRow="0" w:firstColumn="1" w:lastColumn="0" w:oddVBand="0" w:evenVBand="0" w:oddHBand="0" w:evenHBand="0" w:firstRowFirstColumn="0" w:firstRowLastColumn="0" w:lastRowFirstColumn="0" w:lastRowLastColumn="0"/>
            <w:tcW w:w="1784" w:type="dxa"/>
            <w:vMerge/>
          </w:tcPr>
          <w:p w:rsidR="007F1733" w:rsidRPr="007F1733" w:rsidRDefault="007F1733" w:rsidP="00B11CCE">
            <w:pPr>
              <w:spacing w:line="23" w:lineRule="atLeast"/>
              <w:rPr>
                <w:rFonts w:cs="Times New Roman"/>
                <w:bCs w:val="0"/>
                <w:lang w:val="en-GB"/>
              </w:rPr>
            </w:pPr>
          </w:p>
        </w:tc>
        <w:tc>
          <w:tcPr>
            <w:tcW w:w="2520" w:type="dxa"/>
          </w:tcPr>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Emissions, effluents and waste</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lang w:val="en-GB"/>
              </w:rPr>
            </w:pPr>
          </w:p>
        </w:tc>
        <w:tc>
          <w:tcPr>
            <w:tcW w:w="5400" w:type="dxa"/>
          </w:tcPr>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Atmospheric impacts</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Aquatic impacts</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Impacts to Land</w:t>
            </w:r>
          </w:p>
        </w:tc>
      </w:tr>
      <w:tr w:rsidR="007F1733" w:rsidRPr="007F1733" w:rsidTr="00877381">
        <w:tc>
          <w:tcPr>
            <w:cnfStyle w:val="001000000000" w:firstRow="0" w:lastRow="0" w:firstColumn="1" w:lastColumn="0" w:oddVBand="0" w:evenVBand="0" w:oddHBand="0" w:evenHBand="0" w:firstRowFirstColumn="0" w:firstRowLastColumn="0" w:lastRowFirstColumn="0" w:lastRowLastColumn="0"/>
            <w:tcW w:w="1784" w:type="dxa"/>
            <w:vMerge/>
          </w:tcPr>
          <w:p w:rsidR="007F1733" w:rsidRPr="007F1733" w:rsidRDefault="007F1733" w:rsidP="00B11CCE">
            <w:pPr>
              <w:spacing w:line="23" w:lineRule="atLeast"/>
              <w:rPr>
                <w:rFonts w:cs="Times New Roman"/>
                <w:bCs w:val="0"/>
                <w:lang w:val="en-GB"/>
              </w:rPr>
            </w:pPr>
          </w:p>
        </w:tc>
        <w:tc>
          <w:tcPr>
            <w:tcW w:w="2520" w:type="dxa"/>
          </w:tcPr>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Additional environmental items</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lang w:val="en-GB"/>
              </w:rPr>
            </w:pPr>
          </w:p>
        </w:tc>
        <w:tc>
          <w:tcPr>
            <w:tcW w:w="5400" w:type="dxa"/>
          </w:tcPr>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lastRenderedPageBreak/>
              <w:t xml:space="preserve">Duty of care with respect to products and services produced for which environmental or health problem </w:t>
            </w:r>
            <w:r w:rsidRPr="007F1733">
              <w:rPr>
                <w:rFonts w:cs="Times New Roman"/>
                <w:bCs/>
              </w:rPr>
              <w:lastRenderedPageBreak/>
              <w:t>solutions are not yet known.</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Environmental impact of plant construction and decommissioning.</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Compliance</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 xml:space="preserve">Impacts on protected areas </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Impacts on local biodiversity or habitats</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Issues concerning long-term supply of raw materials from non-renewable resources.</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Other possible relevant metrics.</w:t>
            </w:r>
          </w:p>
        </w:tc>
      </w:tr>
      <w:tr w:rsidR="007F1733" w:rsidRPr="007F1733" w:rsidTr="00877381">
        <w:tc>
          <w:tcPr>
            <w:cnfStyle w:val="001000000000" w:firstRow="0" w:lastRow="0" w:firstColumn="1" w:lastColumn="0" w:oddVBand="0" w:evenVBand="0" w:oddHBand="0" w:evenHBand="0" w:firstRowFirstColumn="0" w:firstRowLastColumn="0" w:lastRowFirstColumn="0" w:lastRowLastColumn="0"/>
            <w:tcW w:w="1784" w:type="dxa"/>
            <w:vMerge w:val="restart"/>
          </w:tcPr>
          <w:p w:rsidR="007F1733" w:rsidRPr="007F1733" w:rsidRDefault="007F1733" w:rsidP="00B11CCE">
            <w:pPr>
              <w:pStyle w:val="ListParagraph"/>
              <w:spacing w:line="23" w:lineRule="atLeast"/>
              <w:ind w:left="0"/>
              <w:rPr>
                <w:rFonts w:cs="Times New Roman"/>
                <w:bCs w:val="0"/>
                <w:lang w:val="en-GB"/>
              </w:rPr>
            </w:pPr>
            <w:r w:rsidRPr="007F1733">
              <w:rPr>
                <w:rFonts w:cs="Times New Roman"/>
                <w:bCs w:val="0"/>
                <w:lang w:val="en-GB"/>
              </w:rPr>
              <w:lastRenderedPageBreak/>
              <w:t>Economic indicators</w:t>
            </w:r>
          </w:p>
        </w:tc>
        <w:tc>
          <w:tcPr>
            <w:tcW w:w="2520" w:type="dxa"/>
          </w:tcPr>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Profit, value and tax</w:t>
            </w:r>
          </w:p>
        </w:tc>
        <w:tc>
          <w:tcPr>
            <w:tcW w:w="5400" w:type="dxa"/>
          </w:tcPr>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w:t>
            </w:r>
          </w:p>
        </w:tc>
      </w:tr>
      <w:tr w:rsidR="007F1733" w:rsidRPr="007F1733" w:rsidTr="00877381">
        <w:tc>
          <w:tcPr>
            <w:cnfStyle w:val="001000000000" w:firstRow="0" w:lastRow="0" w:firstColumn="1" w:lastColumn="0" w:oddVBand="0" w:evenVBand="0" w:oddHBand="0" w:evenHBand="0" w:firstRowFirstColumn="0" w:firstRowLastColumn="0" w:lastRowFirstColumn="0" w:lastRowLastColumn="0"/>
            <w:tcW w:w="1784" w:type="dxa"/>
            <w:vMerge/>
          </w:tcPr>
          <w:p w:rsidR="007F1733" w:rsidRPr="007F1733" w:rsidRDefault="007F1733" w:rsidP="00B11CCE">
            <w:pPr>
              <w:pStyle w:val="ListParagraph"/>
              <w:spacing w:line="23" w:lineRule="atLeast"/>
              <w:ind w:left="0"/>
              <w:rPr>
                <w:rFonts w:cs="Times New Roman"/>
                <w:bCs w:val="0"/>
                <w:lang w:val="en-GB"/>
              </w:rPr>
            </w:pPr>
          </w:p>
        </w:tc>
        <w:tc>
          <w:tcPr>
            <w:tcW w:w="2520" w:type="dxa"/>
          </w:tcPr>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lang w:val="en-GB"/>
              </w:rPr>
            </w:pPr>
            <w:r w:rsidRPr="007F1733">
              <w:rPr>
                <w:rFonts w:cs="Times New Roman"/>
                <w:bCs/>
                <w:lang w:val="en-GB"/>
              </w:rPr>
              <w:t>Investments</w:t>
            </w:r>
          </w:p>
        </w:tc>
        <w:tc>
          <w:tcPr>
            <w:tcW w:w="5400" w:type="dxa"/>
          </w:tcPr>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w:t>
            </w:r>
          </w:p>
        </w:tc>
      </w:tr>
      <w:tr w:rsidR="007F1733" w:rsidRPr="007F1733" w:rsidTr="00877381">
        <w:tc>
          <w:tcPr>
            <w:cnfStyle w:val="001000000000" w:firstRow="0" w:lastRow="0" w:firstColumn="1" w:lastColumn="0" w:oddVBand="0" w:evenVBand="0" w:oddHBand="0" w:evenHBand="0" w:firstRowFirstColumn="0" w:firstRowLastColumn="0" w:lastRowFirstColumn="0" w:lastRowLastColumn="0"/>
            <w:tcW w:w="1784" w:type="dxa"/>
            <w:vMerge/>
          </w:tcPr>
          <w:p w:rsidR="007F1733" w:rsidRPr="007F1733" w:rsidRDefault="007F1733" w:rsidP="00B11CCE">
            <w:pPr>
              <w:pStyle w:val="ListParagraph"/>
              <w:spacing w:line="23" w:lineRule="atLeast"/>
              <w:ind w:left="0"/>
              <w:rPr>
                <w:rFonts w:cs="Times New Roman"/>
                <w:bCs w:val="0"/>
                <w:lang w:val="en-GB"/>
              </w:rPr>
            </w:pPr>
          </w:p>
        </w:tc>
        <w:tc>
          <w:tcPr>
            <w:tcW w:w="2520" w:type="dxa"/>
          </w:tcPr>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lang w:val="en-GB"/>
              </w:rPr>
            </w:pPr>
            <w:r w:rsidRPr="007F1733">
              <w:rPr>
                <w:rFonts w:cs="Times New Roman"/>
                <w:bCs/>
                <w:lang w:val="en-GB"/>
              </w:rPr>
              <w:t>Additional economic items</w:t>
            </w:r>
          </w:p>
        </w:tc>
        <w:tc>
          <w:tcPr>
            <w:tcW w:w="5400" w:type="dxa"/>
          </w:tcPr>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rPr>
              <w:t>-</w:t>
            </w:r>
          </w:p>
        </w:tc>
      </w:tr>
      <w:tr w:rsidR="007F1733" w:rsidRPr="007F1733" w:rsidTr="00877381">
        <w:tc>
          <w:tcPr>
            <w:cnfStyle w:val="001000000000" w:firstRow="0" w:lastRow="0" w:firstColumn="1" w:lastColumn="0" w:oddVBand="0" w:evenVBand="0" w:oddHBand="0" w:evenHBand="0" w:firstRowFirstColumn="0" w:firstRowLastColumn="0" w:lastRowFirstColumn="0" w:lastRowLastColumn="0"/>
            <w:tcW w:w="1784" w:type="dxa"/>
            <w:vMerge w:val="restart"/>
          </w:tcPr>
          <w:p w:rsidR="007F1733" w:rsidRPr="007F1733" w:rsidRDefault="007F1733" w:rsidP="00B11CCE">
            <w:pPr>
              <w:pStyle w:val="ListParagraph"/>
              <w:spacing w:line="23" w:lineRule="atLeast"/>
              <w:ind w:left="0"/>
              <w:rPr>
                <w:rFonts w:cs="Times New Roman"/>
              </w:rPr>
            </w:pPr>
            <w:r w:rsidRPr="007F1733">
              <w:rPr>
                <w:rFonts w:cs="Times New Roman"/>
                <w:lang w:val="en-GB"/>
              </w:rPr>
              <w:t>Social indicators</w:t>
            </w:r>
          </w:p>
          <w:p w:rsidR="007F1733" w:rsidRPr="007F1733" w:rsidRDefault="007F1733" w:rsidP="00B11CCE">
            <w:pPr>
              <w:pStyle w:val="ListParagraph"/>
              <w:spacing w:line="23" w:lineRule="atLeast"/>
              <w:ind w:left="0"/>
              <w:rPr>
                <w:rFonts w:cs="Times New Roman"/>
                <w:bCs w:val="0"/>
                <w:lang w:val="en-GB"/>
              </w:rPr>
            </w:pPr>
          </w:p>
        </w:tc>
        <w:tc>
          <w:tcPr>
            <w:tcW w:w="2520" w:type="dxa"/>
          </w:tcPr>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
                <w:bCs/>
                <w:lang w:val="en-GB"/>
              </w:rPr>
            </w:pPr>
            <w:r w:rsidRPr="007F1733">
              <w:rPr>
                <w:rFonts w:cs="Times New Roman"/>
                <w:bCs/>
                <w:lang w:val="en-GB"/>
              </w:rPr>
              <w:t>Workplace</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lang w:val="en-GB"/>
              </w:rPr>
            </w:pPr>
          </w:p>
        </w:tc>
        <w:tc>
          <w:tcPr>
            <w:tcW w:w="5400" w:type="dxa"/>
          </w:tcPr>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lang w:val="en-GB"/>
              </w:rPr>
              <w:t>Employment situation</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rPr>
            </w:pPr>
            <w:r w:rsidRPr="007F1733">
              <w:rPr>
                <w:rFonts w:cs="Times New Roman"/>
                <w:bCs/>
                <w:lang w:val="en-GB"/>
              </w:rPr>
              <w:t>Health and safety at work</w:t>
            </w:r>
          </w:p>
        </w:tc>
      </w:tr>
      <w:tr w:rsidR="007F1733" w:rsidRPr="007F1733" w:rsidTr="00877381">
        <w:tc>
          <w:tcPr>
            <w:cnfStyle w:val="001000000000" w:firstRow="0" w:lastRow="0" w:firstColumn="1" w:lastColumn="0" w:oddVBand="0" w:evenVBand="0" w:oddHBand="0" w:evenHBand="0" w:firstRowFirstColumn="0" w:firstRowLastColumn="0" w:lastRowFirstColumn="0" w:lastRowLastColumn="0"/>
            <w:tcW w:w="1784" w:type="dxa"/>
            <w:vMerge/>
          </w:tcPr>
          <w:p w:rsidR="007F1733" w:rsidRPr="007F1733" w:rsidRDefault="007F1733" w:rsidP="00B11CCE">
            <w:pPr>
              <w:pStyle w:val="ListParagraph"/>
              <w:spacing w:line="23" w:lineRule="atLeast"/>
              <w:ind w:left="0"/>
              <w:rPr>
                <w:rFonts w:cs="Times New Roman"/>
                <w:bCs w:val="0"/>
                <w:lang w:val="en-GB"/>
              </w:rPr>
            </w:pPr>
          </w:p>
        </w:tc>
        <w:tc>
          <w:tcPr>
            <w:tcW w:w="2520" w:type="dxa"/>
          </w:tcPr>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lang w:val="en-GB"/>
              </w:rPr>
            </w:pPr>
            <w:r w:rsidRPr="007F1733">
              <w:rPr>
                <w:rFonts w:cs="Times New Roman"/>
                <w:bCs/>
                <w:lang w:val="en-GB"/>
              </w:rPr>
              <w:t>Society</w:t>
            </w:r>
          </w:p>
        </w:tc>
        <w:tc>
          <w:tcPr>
            <w:tcW w:w="5400" w:type="dxa"/>
          </w:tcPr>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lang w:val="en-GB"/>
              </w:rPr>
            </w:pPr>
            <w:r w:rsidRPr="007F1733">
              <w:rPr>
                <w:rFonts w:cs="Times New Roman"/>
                <w:bCs/>
                <w:lang w:val="en-GB"/>
              </w:rPr>
              <w:t>-</w:t>
            </w:r>
          </w:p>
        </w:tc>
      </w:tr>
      <w:tr w:rsidR="007F1733" w:rsidRPr="007F1733" w:rsidTr="00877381">
        <w:tc>
          <w:tcPr>
            <w:cnfStyle w:val="001000000000" w:firstRow="0" w:lastRow="0" w:firstColumn="1" w:lastColumn="0" w:oddVBand="0" w:evenVBand="0" w:oddHBand="0" w:evenHBand="0" w:firstRowFirstColumn="0" w:firstRowLastColumn="0" w:lastRowFirstColumn="0" w:lastRowLastColumn="0"/>
            <w:tcW w:w="1784" w:type="dxa"/>
            <w:vMerge/>
          </w:tcPr>
          <w:p w:rsidR="007F1733" w:rsidRPr="007F1733" w:rsidRDefault="007F1733" w:rsidP="00B11CCE">
            <w:pPr>
              <w:pStyle w:val="ListParagraph"/>
              <w:spacing w:line="23" w:lineRule="atLeast"/>
              <w:ind w:left="0"/>
              <w:rPr>
                <w:rFonts w:cs="Times New Roman"/>
                <w:bCs w:val="0"/>
                <w:lang w:val="en-GB"/>
              </w:rPr>
            </w:pPr>
          </w:p>
        </w:tc>
        <w:tc>
          <w:tcPr>
            <w:tcW w:w="2520" w:type="dxa"/>
          </w:tcPr>
          <w:p w:rsidR="007F1733" w:rsidRPr="007F1733" w:rsidRDefault="007F1733" w:rsidP="00B11CCE">
            <w:pPr>
              <w:pStyle w:val="ListParagraph"/>
              <w:spacing w:line="23" w:lineRule="atLeast"/>
              <w:ind w:left="0"/>
              <w:cnfStyle w:val="000000000000" w:firstRow="0" w:lastRow="0" w:firstColumn="0" w:lastColumn="0" w:oddVBand="0" w:evenVBand="0" w:oddHBand="0" w:evenHBand="0" w:firstRowFirstColumn="0" w:firstRowLastColumn="0" w:lastRowFirstColumn="0" w:lastRowLastColumn="0"/>
              <w:rPr>
                <w:rFonts w:cs="Times New Roman"/>
                <w:bCs/>
                <w:lang w:val="en-GB"/>
              </w:rPr>
            </w:pPr>
            <w:r w:rsidRPr="007F1733">
              <w:rPr>
                <w:rFonts w:cs="Times New Roman"/>
                <w:bCs/>
                <w:lang w:val="en-GB"/>
              </w:rPr>
              <w:t>Other items</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lang w:val="en-GB"/>
              </w:rPr>
            </w:pPr>
          </w:p>
        </w:tc>
        <w:tc>
          <w:tcPr>
            <w:tcW w:w="5400" w:type="dxa"/>
          </w:tcPr>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lang w:val="en-GB"/>
              </w:rPr>
            </w:pPr>
            <w:r w:rsidRPr="007F1733">
              <w:rPr>
                <w:rFonts w:cs="Times New Roman"/>
                <w:bCs/>
                <w:lang w:val="en-GB"/>
              </w:rPr>
              <w:t>Issues concerning discrimination, concerning women and minorities or indigenous communities, the number in senior and middle management Programmes to improve employability including focused education or training, and mentoring</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lang w:val="en-GB"/>
              </w:rPr>
            </w:pPr>
            <w:r w:rsidRPr="007F1733">
              <w:rPr>
                <w:rFonts w:cs="Times New Roman"/>
                <w:bCs/>
                <w:lang w:val="en-GB"/>
              </w:rPr>
              <w:t>Incidents of child labour, forced labour or violation of human rights, on the part of the company, its suppliers or contractors, and public protest concerning such issues. Report positive steps taken in this regard.</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lang w:val="en-GB"/>
              </w:rPr>
            </w:pPr>
            <w:r w:rsidRPr="007F1733">
              <w:rPr>
                <w:rFonts w:cs="Times New Roman"/>
                <w:bCs/>
                <w:lang w:val="en-GB"/>
              </w:rPr>
              <w:t>Performance of suppliers and contractors relative to criteria for their selection. Incidents of non-compliance with sustainability requirements, eg Responsible Purchasing.</w:t>
            </w:r>
          </w:p>
          <w:p w:rsidR="007F1733" w:rsidRPr="007F1733" w:rsidRDefault="007F1733" w:rsidP="00B11CCE">
            <w:pPr>
              <w:spacing w:line="23" w:lineRule="atLeast"/>
              <w:cnfStyle w:val="000000000000" w:firstRow="0" w:lastRow="0" w:firstColumn="0" w:lastColumn="0" w:oddVBand="0" w:evenVBand="0" w:oddHBand="0" w:evenHBand="0" w:firstRowFirstColumn="0" w:firstRowLastColumn="0" w:lastRowFirstColumn="0" w:lastRowLastColumn="0"/>
              <w:rPr>
                <w:rFonts w:cs="Times New Roman"/>
                <w:bCs/>
                <w:lang w:val="en-GB"/>
              </w:rPr>
            </w:pPr>
            <w:r w:rsidRPr="007F1733">
              <w:rPr>
                <w:rFonts w:cs="Times New Roman"/>
                <w:bCs/>
                <w:lang w:val="en-GB"/>
              </w:rPr>
              <w:t>Other possible relevant metrics</w:t>
            </w:r>
          </w:p>
        </w:tc>
      </w:tr>
    </w:tbl>
    <w:p w:rsidR="00F826E3" w:rsidRDefault="00F826E3" w:rsidP="00F826E3">
      <w:pPr>
        <w:spacing w:line="23" w:lineRule="atLeast"/>
        <w:jc w:val="both"/>
        <w:rPr>
          <w:rFonts w:cs="Times New Roman"/>
          <w:bCs/>
          <w:lang w:val="en-GB"/>
        </w:rPr>
      </w:pPr>
    </w:p>
    <w:p w:rsidR="00F826E3" w:rsidRPr="00252D46" w:rsidRDefault="00F826E3" w:rsidP="00F826E3">
      <w:pPr>
        <w:spacing w:line="23" w:lineRule="atLeast"/>
        <w:jc w:val="both"/>
        <w:rPr>
          <w:b/>
          <w:sz w:val="24"/>
        </w:rPr>
      </w:pPr>
      <w:r w:rsidRPr="007F1733">
        <w:rPr>
          <w:rFonts w:cs="Times New Roman"/>
          <w:bCs/>
          <w:lang w:val="en-GB"/>
        </w:rPr>
        <w:t xml:space="preserve">The </w:t>
      </w:r>
      <w:proofErr w:type="spellStart"/>
      <w:r w:rsidRPr="007F1733">
        <w:rPr>
          <w:rFonts w:cs="Times New Roman"/>
          <w:bCs/>
          <w:lang w:val="en-GB"/>
        </w:rPr>
        <w:t>IChemE</w:t>
      </w:r>
      <w:proofErr w:type="spellEnd"/>
      <w:r w:rsidRPr="007F1733">
        <w:rPr>
          <w:rFonts w:cs="Times New Roman"/>
          <w:bCs/>
          <w:lang w:val="en-GB"/>
        </w:rPr>
        <w:t xml:space="preserve"> sustainable development progress metrics are described in details with the equations required to compute the indicators in their report </w:t>
      </w:r>
      <w:r w:rsidRPr="001E61EB">
        <w:rPr>
          <w:rFonts w:cs="Times New Roman"/>
          <w:bCs/>
          <w:lang w:val="en-GB"/>
        </w:rPr>
        <w:t>(</w:t>
      </w:r>
      <w:proofErr w:type="spellStart"/>
      <w:r w:rsidRPr="001E61EB">
        <w:rPr>
          <w:rFonts w:cs="Times New Roman"/>
          <w:bCs/>
          <w:lang w:val="en-GB"/>
        </w:rPr>
        <w:t>IChemE</w:t>
      </w:r>
      <w:proofErr w:type="spellEnd"/>
      <w:r w:rsidRPr="001E61EB">
        <w:rPr>
          <w:rFonts w:cs="Times New Roman"/>
          <w:bCs/>
          <w:lang w:val="en-GB"/>
        </w:rPr>
        <w:t xml:space="preserve">, 2014). </w:t>
      </w:r>
      <w:r w:rsidRPr="007F1733">
        <w:rPr>
          <w:rFonts w:cs="Times New Roman"/>
          <w:bCs/>
          <w:lang w:val="en-GB"/>
        </w:rPr>
        <w:t xml:space="preserve">A company wishing to disclose their sustainability performance is required to use these indicators, collect data for them, and compile the indicator values in a prescribed report format. Thus, the </w:t>
      </w:r>
      <w:proofErr w:type="spellStart"/>
      <w:r w:rsidRPr="007F1733">
        <w:rPr>
          <w:rFonts w:cs="Times New Roman"/>
          <w:bCs/>
          <w:lang w:val="en-GB"/>
        </w:rPr>
        <w:t>IChemE</w:t>
      </w:r>
      <w:proofErr w:type="spellEnd"/>
      <w:r w:rsidRPr="007F1733">
        <w:rPr>
          <w:rFonts w:cs="Times New Roman"/>
          <w:bCs/>
          <w:lang w:val="en-GB"/>
        </w:rPr>
        <w:t xml:space="preserve"> metrics help to collect information on the various aspects of process related sustainability for a given company for external reporting. Internally, a particular company may make use of the indicators to compare between several competing processes. The report in itself is a just a compilation of indicator data and two companies or processes are compared on a particular indicator on an ad hoc basis. </w:t>
      </w:r>
      <w:r w:rsidRPr="00252D46">
        <w:rPr>
          <w:b/>
          <w:sz w:val="24"/>
        </w:rPr>
        <w:t>Connections to Existing Core Curriculum</w:t>
      </w:r>
    </w:p>
    <w:p w:rsidR="0050263E" w:rsidRPr="00F826E3" w:rsidRDefault="00F826E3" w:rsidP="00F826E3">
      <w:pPr>
        <w:spacing w:line="23" w:lineRule="atLeast"/>
        <w:jc w:val="both"/>
        <w:rPr>
          <w:rFonts w:cs="Times New Roman"/>
          <w:bCs/>
          <w:lang w:val="en-GB"/>
        </w:rPr>
      </w:pPr>
      <w:r w:rsidRPr="00877381">
        <w:t xml:space="preserve">The </w:t>
      </w:r>
      <w:r>
        <w:t>inclusion of metrics for sustainability indicators is crucial for current courses. Typically, these indicators span across a variety of subjects, such as basic chemical engineering material and energy balances, environmental engineering, process safety, engineering design etc. Students need to make a connection between the metrics and the substance flows that allow the calculation of such metrics. Also courses on life cycle assessment, sustainability in general need to include such topics on metrics calculation because that quantifies the quest for sustainability assessment</w:t>
      </w:r>
      <w:r w:rsidR="0050263E">
        <w:t>.</w:t>
      </w:r>
    </w:p>
    <w:p w:rsidR="00F826E3" w:rsidRDefault="00F826E3" w:rsidP="00B11CCE">
      <w:pPr>
        <w:spacing w:line="23" w:lineRule="atLeast"/>
        <w:rPr>
          <w:b/>
          <w:sz w:val="24"/>
        </w:rPr>
      </w:pPr>
    </w:p>
    <w:p w:rsidR="00F826E3" w:rsidRDefault="00F826E3" w:rsidP="00B11CCE">
      <w:pPr>
        <w:spacing w:line="23" w:lineRule="atLeast"/>
        <w:rPr>
          <w:b/>
          <w:sz w:val="24"/>
        </w:rPr>
      </w:pPr>
    </w:p>
    <w:p w:rsidR="00252D46" w:rsidRPr="00252D46" w:rsidRDefault="00252D46" w:rsidP="00B11CCE">
      <w:pPr>
        <w:spacing w:line="23" w:lineRule="atLeast"/>
        <w:rPr>
          <w:b/>
          <w:sz w:val="24"/>
        </w:rPr>
      </w:pPr>
      <w:r w:rsidRPr="00252D46">
        <w:rPr>
          <w:b/>
          <w:sz w:val="24"/>
        </w:rPr>
        <w:lastRenderedPageBreak/>
        <w:t>References for Further Reading</w:t>
      </w:r>
    </w:p>
    <w:p w:rsidR="008F7CA1" w:rsidRPr="00C43CF4" w:rsidRDefault="008F7CA1" w:rsidP="00B11CCE">
      <w:pPr>
        <w:spacing w:line="23" w:lineRule="atLeast"/>
      </w:pPr>
      <w:proofErr w:type="spellStart"/>
      <w:r>
        <w:t>Beloff</w:t>
      </w:r>
      <w:proofErr w:type="spellEnd"/>
      <w:r>
        <w:t>, B., Beaver, E., (2000),</w:t>
      </w:r>
      <w:r w:rsidRPr="00C43CF4">
        <w:t xml:space="preserve"> Sustainability Indicators and Metrics Project of CWRT. Bridges to Sustainability, Houston, TX</w:t>
      </w:r>
    </w:p>
    <w:p w:rsidR="008F7CA1" w:rsidRDefault="008F7CA1" w:rsidP="00B11CCE">
      <w:pPr>
        <w:spacing w:line="23" w:lineRule="atLeast"/>
        <w:rPr>
          <w:rFonts w:cs="Arial"/>
          <w:color w:val="222222"/>
          <w:shd w:val="clear" w:color="auto" w:fill="FFFFFF"/>
        </w:rPr>
      </w:pPr>
      <w:proofErr w:type="spellStart"/>
      <w:r w:rsidRPr="00C43CF4">
        <w:rPr>
          <w:rFonts w:cs="Arial"/>
          <w:color w:val="222222"/>
          <w:shd w:val="clear" w:color="auto" w:fill="FFFFFF"/>
        </w:rPr>
        <w:t>Fiksel</w:t>
      </w:r>
      <w:proofErr w:type="spellEnd"/>
      <w:r w:rsidRPr="00C43CF4">
        <w:rPr>
          <w:rFonts w:cs="Arial"/>
          <w:color w:val="222222"/>
          <w:shd w:val="clear" w:color="auto" w:fill="FFFFFF"/>
        </w:rPr>
        <w:t>, J, Eason,</w:t>
      </w:r>
      <w:r>
        <w:rPr>
          <w:rFonts w:cs="Arial"/>
          <w:color w:val="222222"/>
          <w:shd w:val="clear" w:color="auto" w:fill="FFFFFF"/>
        </w:rPr>
        <w:t xml:space="preserve"> T.</w:t>
      </w:r>
      <w:proofErr w:type="gramStart"/>
      <w:r>
        <w:rPr>
          <w:rFonts w:cs="Arial"/>
          <w:color w:val="222222"/>
          <w:shd w:val="clear" w:color="auto" w:fill="FFFFFF"/>
        </w:rPr>
        <w:t xml:space="preserve">,  </w:t>
      </w:r>
      <w:r w:rsidRPr="00C43CF4">
        <w:rPr>
          <w:rFonts w:cs="Arial"/>
          <w:color w:val="222222"/>
          <w:shd w:val="clear" w:color="auto" w:fill="FFFFFF"/>
        </w:rPr>
        <w:t>Frederickson</w:t>
      </w:r>
      <w:proofErr w:type="gramEnd"/>
      <w:r>
        <w:rPr>
          <w:rFonts w:cs="Arial"/>
          <w:color w:val="222222"/>
          <w:shd w:val="clear" w:color="auto" w:fill="FFFFFF"/>
        </w:rPr>
        <w:t xml:space="preserve">, H., </w:t>
      </w:r>
      <w:r w:rsidRPr="00C43CF4">
        <w:rPr>
          <w:rFonts w:cs="Arial"/>
          <w:color w:val="222222"/>
          <w:shd w:val="clear" w:color="auto" w:fill="FFFFFF"/>
        </w:rPr>
        <w:t>(2012)</w:t>
      </w:r>
      <w:r>
        <w:rPr>
          <w:rFonts w:cs="Arial"/>
          <w:color w:val="222222"/>
          <w:shd w:val="clear" w:color="auto" w:fill="FFFFFF"/>
        </w:rPr>
        <w:t xml:space="preserve">, </w:t>
      </w:r>
      <w:r w:rsidRPr="00C43CF4">
        <w:rPr>
          <w:rFonts w:cs="Arial"/>
          <w:color w:val="222222"/>
          <w:shd w:val="clear" w:color="auto" w:fill="FFFFFF"/>
        </w:rPr>
        <w:t>A framework for su</w:t>
      </w:r>
      <w:r>
        <w:rPr>
          <w:rFonts w:cs="Arial"/>
          <w:color w:val="222222"/>
          <w:shd w:val="clear" w:color="auto" w:fill="FFFFFF"/>
        </w:rPr>
        <w:t>stainability indicators at EPA.</w:t>
      </w:r>
      <w:r w:rsidRPr="00C43CF4">
        <w:rPr>
          <w:rStyle w:val="apple-converted-space"/>
          <w:rFonts w:cs="Arial"/>
          <w:color w:val="222222"/>
          <w:shd w:val="clear" w:color="auto" w:fill="FFFFFF"/>
        </w:rPr>
        <w:t> </w:t>
      </w:r>
      <w:r w:rsidRPr="00C43CF4">
        <w:rPr>
          <w:rFonts w:cs="Arial"/>
          <w:i/>
          <w:iCs/>
          <w:color w:val="222222"/>
          <w:shd w:val="clear" w:color="auto" w:fill="FFFFFF"/>
        </w:rPr>
        <w:t>National Risk Management Research Laboratory Office of Research and Development US Environmental Protection Agency</w:t>
      </w:r>
      <w:r w:rsidRPr="00C43CF4">
        <w:rPr>
          <w:rStyle w:val="apple-converted-space"/>
          <w:rFonts w:cs="Arial"/>
          <w:color w:val="222222"/>
          <w:shd w:val="clear" w:color="auto" w:fill="FFFFFF"/>
        </w:rPr>
        <w:t> </w:t>
      </w:r>
      <w:r w:rsidRPr="00C43CF4">
        <w:rPr>
          <w:rFonts w:cs="Arial"/>
          <w:color w:val="222222"/>
          <w:shd w:val="clear" w:color="auto" w:fill="FFFFFF"/>
        </w:rPr>
        <w:t>.</w:t>
      </w:r>
    </w:p>
    <w:p w:rsidR="008F7CA1" w:rsidRPr="00C43CF4" w:rsidRDefault="008F7CA1" w:rsidP="00B11CCE">
      <w:pPr>
        <w:spacing w:line="23" w:lineRule="atLeast"/>
      </w:pPr>
      <w:proofErr w:type="spellStart"/>
      <w:r>
        <w:t>IChemE</w:t>
      </w:r>
      <w:proofErr w:type="spellEnd"/>
      <w:r>
        <w:t>, (2014),</w:t>
      </w:r>
      <w:r w:rsidRPr="00C43CF4">
        <w:t xml:space="preserve"> </w:t>
      </w:r>
      <w:proofErr w:type="gramStart"/>
      <w:r w:rsidRPr="00C43CF4">
        <w:t>The</w:t>
      </w:r>
      <w:proofErr w:type="gramEnd"/>
      <w:r w:rsidRPr="00C43CF4">
        <w:t xml:space="preserve"> Sustainability Metrics—Sustainable Development Progress Metrics Recommended for Use in the Process Industries. Institution of Chemical Engineers, Rugby, UK.</w:t>
      </w:r>
    </w:p>
    <w:p w:rsidR="008F7CA1" w:rsidRDefault="008F7CA1" w:rsidP="00B11CCE">
      <w:pPr>
        <w:spacing w:line="23" w:lineRule="atLeast"/>
      </w:pPr>
      <w:r>
        <w:t xml:space="preserve">Jain, R, (2005), </w:t>
      </w:r>
      <w:r w:rsidRPr="00C43CF4">
        <w:t>Sustainability: metrics, specific i</w:t>
      </w:r>
      <w:r>
        <w:t>ndicators and preference index.</w:t>
      </w:r>
      <w:r w:rsidRPr="00C43CF4">
        <w:t xml:space="preserve"> Clean Technologies and</w:t>
      </w:r>
      <w:r>
        <w:t xml:space="preserve"> Environmental Policy 7.2 </w:t>
      </w:r>
      <w:r w:rsidRPr="00C43CF4">
        <w:t>: 71-72.</w:t>
      </w:r>
      <w:bookmarkStart w:id="0" w:name="_GoBack"/>
      <w:bookmarkEnd w:id="0"/>
    </w:p>
    <w:p w:rsidR="008F7CA1" w:rsidRDefault="008F7CA1" w:rsidP="00B11CCE">
      <w:pPr>
        <w:spacing w:line="23" w:lineRule="atLeast"/>
      </w:pPr>
      <w:r w:rsidRPr="00C43CF4">
        <w:t xml:space="preserve">Martins, A. </w:t>
      </w:r>
      <w:r>
        <w:t>A., Mata, T. M., Costa, C. A.</w:t>
      </w:r>
      <w:proofErr w:type="gramStart"/>
      <w:r>
        <w:t>,  Sikdar</w:t>
      </w:r>
      <w:proofErr w:type="gramEnd"/>
      <w:r>
        <w:t>, S. K., (2007),</w:t>
      </w:r>
      <w:r w:rsidRPr="00C43CF4">
        <w:t xml:space="preserve"> Framework for sustainability metrics. Industrial &amp; engineering chemistry research, 46(10), 2962-2973.</w:t>
      </w:r>
    </w:p>
    <w:p w:rsidR="008F7CA1" w:rsidRPr="00C43CF4" w:rsidRDefault="008F7CA1" w:rsidP="00B11CCE">
      <w:pPr>
        <w:spacing w:line="23" w:lineRule="atLeast"/>
      </w:pPr>
      <w:r w:rsidRPr="00C43CF4">
        <w:t xml:space="preserve">Schwarz, J., Beloff, B., Beaver, E., </w:t>
      </w:r>
      <w:r>
        <w:t>(2002),</w:t>
      </w:r>
      <w:r w:rsidRPr="00C43CF4">
        <w:t xml:space="preserve"> Use sustainability metrics to guide decision making. Chem. Eng. Prog. 98, 58_63.</w:t>
      </w:r>
    </w:p>
    <w:p w:rsidR="008F7CA1" w:rsidRPr="00C43CF4" w:rsidRDefault="008F7CA1" w:rsidP="00B11CCE">
      <w:pPr>
        <w:spacing w:line="23" w:lineRule="atLeast"/>
      </w:pPr>
      <w:proofErr w:type="spellStart"/>
      <w:r w:rsidRPr="00FE114B">
        <w:t>Sengupta</w:t>
      </w:r>
      <w:proofErr w:type="spellEnd"/>
      <w:r>
        <w:t>, D.</w:t>
      </w:r>
      <w:r w:rsidRPr="00FE114B">
        <w:t>, Mukherjee</w:t>
      </w:r>
      <w:r>
        <w:t>,</w:t>
      </w:r>
      <w:r w:rsidRPr="00FE114B">
        <w:t xml:space="preserve"> </w:t>
      </w:r>
      <w:r>
        <w:t xml:space="preserve">R., </w:t>
      </w:r>
      <w:r w:rsidRPr="00FE114B">
        <w:t xml:space="preserve">Sikdar, </w:t>
      </w:r>
      <w:r>
        <w:t xml:space="preserve">S.K., (2015), </w:t>
      </w:r>
      <w:r w:rsidRPr="00FE114B">
        <w:t>Chapter 4 - Moving to a decision point in sustainability analyses, In</w:t>
      </w:r>
      <w:r>
        <w:t>:</w:t>
      </w:r>
      <w:r w:rsidRPr="00FE114B">
        <w:t xml:space="preserve"> Assessing and Measuring Environmental Impact and Sustainability, edited by Jiří Jaromír Klemeš, But</w:t>
      </w:r>
      <w:r>
        <w:t>terworth-Heinemann, Oxford</w:t>
      </w:r>
      <w:r w:rsidRPr="00FE114B">
        <w:t>, Pages 87-129, ISBN 978012799968</w:t>
      </w:r>
    </w:p>
    <w:p w:rsidR="008F7CA1" w:rsidRPr="00C43CF4" w:rsidRDefault="008F7CA1" w:rsidP="00B11CCE">
      <w:pPr>
        <w:spacing w:line="23" w:lineRule="atLeast"/>
      </w:pPr>
      <w:proofErr w:type="spellStart"/>
      <w:r w:rsidRPr="00C43CF4">
        <w:t>Sikdar</w:t>
      </w:r>
      <w:proofErr w:type="spellEnd"/>
      <w:r w:rsidRPr="00C43CF4">
        <w:t xml:space="preserve">, S.K., </w:t>
      </w:r>
      <w:r>
        <w:t>(2003),</w:t>
      </w:r>
      <w:r w:rsidRPr="00C43CF4">
        <w:t xml:space="preserve"> Sustainable development and sustainability metrics. AIChE J. 49, 1928_1932.</w:t>
      </w:r>
    </w:p>
    <w:p w:rsidR="008F7CA1" w:rsidRPr="00C43CF4" w:rsidRDefault="008F7CA1" w:rsidP="00B11CCE">
      <w:pPr>
        <w:spacing w:line="23" w:lineRule="atLeast"/>
      </w:pPr>
      <w:proofErr w:type="spellStart"/>
      <w:proofErr w:type="gramStart"/>
      <w:r w:rsidRPr="00C43CF4">
        <w:t>Tanzil</w:t>
      </w:r>
      <w:proofErr w:type="spellEnd"/>
      <w:r w:rsidRPr="00C43CF4">
        <w:t xml:space="preserve">, D., Ma, G., Beloff, B., </w:t>
      </w:r>
      <w:r>
        <w:t>(</w:t>
      </w:r>
      <w:r w:rsidRPr="00C43CF4">
        <w:t>2003</w:t>
      </w:r>
      <w:r>
        <w:t xml:space="preserve">), </w:t>
      </w:r>
      <w:r w:rsidRPr="00C43CF4">
        <w:t>Sustainability metrics.</w:t>
      </w:r>
      <w:proofErr w:type="gramEnd"/>
      <w:r w:rsidRPr="00C43CF4">
        <w:t xml:space="preserve"> Innovating for sustainability. The 11th International Conference of Greening of Industry Network, San Francisco, CA, USA, pp. 12_15.</w:t>
      </w:r>
    </w:p>
    <w:sectPr w:rsidR="008F7CA1" w:rsidRPr="00C43CF4" w:rsidSect="00F826E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F509B4"/>
    <w:multiLevelType w:val="hybridMultilevel"/>
    <w:tmpl w:val="FEB2BC9C"/>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E07"/>
    <w:rsid w:val="00004946"/>
    <w:rsid w:val="00022999"/>
    <w:rsid w:val="000600CF"/>
    <w:rsid w:val="000B6FDB"/>
    <w:rsid w:val="001124B6"/>
    <w:rsid w:val="001D506B"/>
    <w:rsid w:val="001E61EB"/>
    <w:rsid w:val="00252D46"/>
    <w:rsid w:val="002E6E1D"/>
    <w:rsid w:val="00304293"/>
    <w:rsid w:val="003611AC"/>
    <w:rsid w:val="003855F7"/>
    <w:rsid w:val="00394D3C"/>
    <w:rsid w:val="003C1D32"/>
    <w:rsid w:val="003E2A13"/>
    <w:rsid w:val="004A3301"/>
    <w:rsid w:val="004C0055"/>
    <w:rsid w:val="0050263E"/>
    <w:rsid w:val="0050285D"/>
    <w:rsid w:val="0055764E"/>
    <w:rsid w:val="00620E07"/>
    <w:rsid w:val="006608F3"/>
    <w:rsid w:val="00674480"/>
    <w:rsid w:val="006928B3"/>
    <w:rsid w:val="0077200B"/>
    <w:rsid w:val="0079083B"/>
    <w:rsid w:val="007D03A9"/>
    <w:rsid w:val="007E32BB"/>
    <w:rsid w:val="007E6358"/>
    <w:rsid w:val="007E74C0"/>
    <w:rsid w:val="007F1733"/>
    <w:rsid w:val="00877381"/>
    <w:rsid w:val="008C632C"/>
    <w:rsid w:val="008F7CA1"/>
    <w:rsid w:val="009653D0"/>
    <w:rsid w:val="00971C76"/>
    <w:rsid w:val="00975284"/>
    <w:rsid w:val="009F1C6C"/>
    <w:rsid w:val="00A126CE"/>
    <w:rsid w:val="00A31248"/>
    <w:rsid w:val="00A36A80"/>
    <w:rsid w:val="00B11CCE"/>
    <w:rsid w:val="00B73C58"/>
    <w:rsid w:val="00C24B9C"/>
    <w:rsid w:val="00C43CF4"/>
    <w:rsid w:val="00C514F4"/>
    <w:rsid w:val="00CA5ED1"/>
    <w:rsid w:val="00CA6B3C"/>
    <w:rsid w:val="00CB4A72"/>
    <w:rsid w:val="00CD27F0"/>
    <w:rsid w:val="00DB56B1"/>
    <w:rsid w:val="00E36802"/>
    <w:rsid w:val="00E87457"/>
    <w:rsid w:val="00EA2E3A"/>
    <w:rsid w:val="00EC6249"/>
    <w:rsid w:val="00F12447"/>
    <w:rsid w:val="00F16956"/>
    <w:rsid w:val="00F774DD"/>
    <w:rsid w:val="00F826E3"/>
    <w:rsid w:val="00FE114B"/>
    <w:rsid w:val="00FF1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F1733"/>
    <w:pPr>
      <w:keepNext/>
      <w:keepLines/>
      <w:spacing w:before="120" w:after="120"/>
      <w:outlineLvl w:val="1"/>
    </w:pPr>
    <w:rPr>
      <w:rFonts w:ascii="Times New Roman" w:eastAsiaTheme="majorEastAsia" w:hAnsi="Times New Roman"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733"/>
    <w:pPr>
      <w:ind w:left="720"/>
      <w:contextualSpacing/>
    </w:pPr>
  </w:style>
  <w:style w:type="character" w:customStyle="1" w:styleId="Heading2Char">
    <w:name w:val="Heading 2 Char"/>
    <w:basedOn w:val="DefaultParagraphFont"/>
    <w:link w:val="Heading2"/>
    <w:uiPriority w:val="9"/>
    <w:rsid w:val="007F1733"/>
    <w:rPr>
      <w:rFonts w:ascii="Times New Roman" w:eastAsiaTheme="majorEastAsia" w:hAnsi="Times New Roman" w:cstheme="majorBidi"/>
      <w:b/>
      <w:bCs/>
      <w:sz w:val="24"/>
      <w:szCs w:val="26"/>
    </w:rPr>
  </w:style>
  <w:style w:type="table" w:customStyle="1" w:styleId="LightShading1">
    <w:name w:val="Light Shading1"/>
    <w:basedOn w:val="TableNormal"/>
    <w:uiPriority w:val="60"/>
    <w:rsid w:val="007F173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7908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083B"/>
    <w:rPr>
      <w:rFonts w:ascii="Tahoma" w:hAnsi="Tahoma" w:cs="Tahoma"/>
      <w:sz w:val="16"/>
      <w:szCs w:val="16"/>
    </w:rPr>
  </w:style>
  <w:style w:type="table" w:styleId="TableGrid">
    <w:name w:val="Table Grid"/>
    <w:basedOn w:val="TableNormal"/>
    <w:uiPriority w:val="59"/>
    <w:rsid w:val="00E368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8773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C43C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F1733"/>
    <w:pPr>
      <w:keepNext/>
      <w:keepLines/>
      <w:spacing w:before="120" w:after="120"/>
      <w:outlineLvl w:val="1"/>
    </w:pPr>
    <w:rPr>
      <w:rFonts w:ascii="Times New Roman" w:eastAsiaTheme="majorEastAsia" w:hAnsi="Times New Roman"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733"/>
    <w:pPr>
      <w:ind w:left="720"/>
      <w:contextualSpacing/>
    </w:pPr>
  </w:style>
  <w:style w:type="character" w:customStyle="1" w:styleId="Heading2Char">
    <w:name w:val="Heading 2 Char"/>
    <w:basedOn w:val="DefaultParagraphFont"/>
    <w:link w:val="Heading2"/>
    <w:uiPriority w:val="9"/>
    <w:rsid w:val="007F1733"/>
    <w:rPr>
      <w:rFonts w:ascii="Times New Roman" w:eastAsiaTheme="majorEastAsia" w:hAnsi="Times New Roman" w:cstheme="majorBidi"/>
      <w:b/>
      <w:bCs/>
      <w:sz w:val="24"/>
      <w:szCs w:val="26"/>
    </w:rPr>
  </w:style>
  <w:style w:type="table" w:customStyle="1" w:styleId="LightShading1">
    <w:name w:val="Light Shading1"/>
    <w:basedOn w:val="TableNormal"/>
    <w:uiPriority w:val="60"/>
    <w:rsid w:val="007F173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7908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083B"/>
    <w:rPr>
      <w:rFonts w:ascii="Tahoma" w:hAnsi="Tahoma" w:cs="Tahoma"/>
      <w:sz w:val="16"/>
      <w:szCs w:val="16"/>
    </w:rPr>
  </w:style>
  <w:style w:type="table" w:styleId="TableGrid">
    <w:name w:val="Table Grid"/>
    <w:basedOn w:val="TableNormal"/>
    <w:uiPriority w:val="59"/>
    <w:rsid w:val="00E368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8773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C43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oleObject" Target="embeddings/oleObject4.bin"/><Relationship Id="rId10" Type="http://schemas.openxmlformats.org/officeDocument/2006/relationships/image" Target="media/image3.w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oleObject" Target="embeddings/oleObject1.bin"/><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7E1BE-B3AC-4750-95B5-8DBC042EF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56CAAF73</Template>
  <TotalTime>8147</TotalTime>
  <Pages>6</Pages>
  <Words>2816</Words>
  <Characters>16054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Texas A&amp;M University</Company>
  <LinksUpToDate>false</LinksUpToDate>
  <CharactersWithSpaces>18833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34</cp:revision>
  <dcterms:created xsi:type="dcterms:W3CDTF">2014-05-22T18:07:00Z</dcterms:created>
  <dcterms:modified xsi:type="dcterms:W3CDTF">2015-02-16T00:40:00Z</dcterms:modified>
</cp:coreProperties>
</file>